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3BAF5" w14:textId="77777777" w:rsidR="00621806" w:rsidRDefault="00621806" w:rsidP="00657E5D">
      <w:pPr>
        <w:pStyle w:val="BodyTextIndent2"/>
        <w:ind w:left="0"/>
        <w:jc w:val="both"/>
      </w:pPr>
      <w:r>
        <w:t>The Kansas Corporation Commission (KCC) requires e</w:t>
      </w:r>
      <w:r w:rsidR="00E00445">
        <w:t>very Eligible Telecommunications Carrier</w:t>
      </w:r>
      <w:r w:rsidR="00E00445">
        <w:rPr>
          <w:sz w:val="26"/>
        </w:rPr>
        <w:t xml:space="preserve"> (</w:t>
      </w:r>
      <w:smartTag w:uri="urn:schemas-microsoft-com:office:smarttags" w:element="stockticker">
        <w:r w:rsidR="00E00445">
          <w:t>ETC</w:t>
        </w:r>
      </w:smartTag>
      <w:r w:rsidR="00E00445">
        <w:t xml:space="preserve">) to complete the </w:t>
      </w:r>
      <w:r w:rsidR="002760D4">
        <w:t>ETC</w:t>
      </w:r>
      <w:r>
        <w:t xml:space="preserve"> certification </w:t>
      </w:r>
      <w:r w:rsidR="00E00445">
        <w:t>forms</w:t>
      </w:r>
      <w:r w:rsidR="00906DA5">
        <w:t xml:space="preserve"> as part of </w:t>
      </w:r>
      <w:r w:rsidR="00F34FC5">
        <w:t>the</w:t>
      </w:r>
      <w:r w:rsidR="00906DA5">
        <w:t xml:space="preserve"> annual ETC certification process.  </w:t>
      </w:r>
      <w:r w:rsidR="00E00445">
        <w:t xml:space="preserve"> </w:t>
      </w:r>
    </w:p>
    <w:p w14:paraId="4BB82DA2" w14:textId="77777777" w:rsidR="009B09EA" w:rsidRDefault="009B09EA" w:rsidP="00657E5D">
      <w:pPr>
        <w:pStyle w:val="BodyTextIndent2"/>
        <w:ind w:left="0"/>
        <w:jc w:val="both"/>
      </w:pPr>
    </w:p>
    <w:p w14:paraId="73BB7797" w14:textId="54F2FE8C" w:rsidR="00621806" w:rsidRDefault="00E00445" w:rsidP="00657E5D">
      <w:pPr>
        <w:pStyle w:val="BodyTextIndent2"/>
        <w:ind w:left="0"/>
        <w:jc w:val="both"/>
      </w:pPr>
      <w:r>
        <w:t>If you have any questions, please c</w:t>
      </w:r>
      <w:r w:rsidR="00540B7F">
        <w:t>ontact the</w:t>
      </w:r>
      <w:r>
        <w:t xml:space="preserve"> Telecommunications Division at</w:t>
      </w:r>
      <w:r w:rsidR="005F40BA">
        <w:t xml:space="preserve"> </w:t>
      </w:r>
      <w:hyperlink r:id="rId8" w:history="1">
        <w:r w:rsidR="00152A2E" w:rsidRPr="009604AA">
          <w:rPr>
            <w:rStyle w:val="Hyperlink"/>
          </w:rPr>
          <w:t>steve.garrett@ks.gov</w:t>
        </w:r>
      </w:hyperlink>
      <w:r w:rsidR="00422535">
        <w:t xml:space="preserve"> or </w:t>
      </w:r>
      <w:hyperlink r:id="rId9" w:history="1">
        <w:r w:rsidR="00152A2E" w:rsidRPr="009604AA">
          <w:rPr>
            <w:rStyle w:val="Hyperlink"/>
          </w:rPr>
          <w:t>hemant.bhagat@ks.gov</w:t>
        </w:r>
      </w:hyperlink>
      <w:r w:rsidR="00422535">
        <w:t xml:space="preserve">. </w:t>
      </w:r>
      <w:r w:rsidR="008F262A">
        <w:t xml:space="preserve"> </w:t>
      </w:r>
      <w:r>
        <w:t xml:space="preserve">  </w:t>
      </w:r>
    </w:p>
    <w:p w14:paraId="79E7D097" w14:textId="77777777" w:rsidR="00621806" w:rsidRDefault="00621806" w:rsidP="00657E5D">
      <w:pPr>
        <w:pStyle w:val="BodyTextIndent2"/>
        <w:ind w:left="0"/>
        <w:jc w:val="both"/>
      </w:pPr>
    </w:p>
    <w:p w14:paraId="4D3A310F" w14:textId="77777777" w:rsidR="00E00445" w:rsidRDefault="00E00445" w:rsidP="00657E5D">
      <w:pPr>
        <w:ind w:left="1440"/>
        <w:jc w:val="both"/>
      </w:pPr>
    </w:p>
    <w:p w14:paraId="4C78DE32" w14:textId="77777777" w:rsidR="00621806" w:rsidRDefault="00621806" w:rsidP="00657E5D">
      <w:pPr>
        <w:pStyle w:val="BodyTextIndent2"/>
        <w:tabs>
          <w:tab w:val="left" w:pos="360"/>
        </w:tabs>
        <w:ind w:left="0"/>
        <w:jc w:val="both"/>
        <w:rPr>
          <w:b/>
          <w:bCs/>
        </w:rPr>
      </w:pPr>
      <w:r>
        <w:rPr>
          <w:b/>
          <w:bCs/>
        </w:rPr>
        <w:t>1.</w:t>
      </w:r>
      <w:r>
        <w:rPr>
          <w:b/>
          <w:bCs/>
        </w:rPr>
        <w:tab/>
        <w:t>Line Definitions:</w:t>
      </w:r>
    </w:p>
    <w:p w14:paraId="53F10485" w14:textId="77777777" w:rsidR="00621806" w:rsidRDefault="00621806" w:rsidP="00657E5D">
      <w:pPr>
        <w:pStyle w:val="BodyTextIndent2"/>
        <w:ind w:left="0"/>
        <w:jc w:val="both"/>
        <w:rPr>
          <w:b/>
          <w:bCs/>
        </w:rPr>
      </w:pPr>
    </w:p>
    <w:p w14:paraId="604752C8" w14:textId="77777777" w:rsidR="00E00445" w:rsidRDefault="00621806" w:rsidP="00657E5D">
      <w:pPr>
        <w:pStyle w:val="BodyTextIndent2"/>
        <w:ind w:left="0" w:firstLine="720"/>
        <w:jc w:val="both"/>
        <w:rPr>
          <w:b/>
          <w:bCs/>
        </w:rPr>
      </w:pPr>
      <w:r>
        <w:rPr>
          <w:b/>
          <w:bCs/>
        </w:rPr>
        <w:t xml:space="preserve">Working </w:t>
      </w:r>
      <w:r w:rsidR="00E00445">
        <w:rPr>
          <w:b/>
          <w:bCs/>
        </w:rPr>
        <w:t>L</w:t>
      </w:r>
      <w:r>
        <w:rPr>
          <w:b/>
          <w:bCs/>
        </w:rPr>
        <w:t xml:space="preserve">oops </w:t>
      </w:r>
      <w:r w:rsidR="00E00445">
        <w:rPr>
          <w:b/>
          <w:bCs/>
        </w:rPr>
        <w:t xml:space="preserve">for </w:t>
      </w:r>
      <w:r w:rsidR="00E87B8F">
        <w:rPr>
          <w:b/>
          <w:bCs/>
        </w:rPr>
        <w:t>f</w:t>
      </w:r>
      <w:r w:rsidR="00E00445">
        <w:rPr>
          <w:b/>
          <w:bCs/>
        </w:rPr>
        <w:t xml:space="preserve">ederal </w:t>
      </w:r>
      <w:r w:rsidR="005E52E4">
        <w:rPr>
          <w:b/>
          <w:bCs/>
        </w:rPr>
        <w:t>High-Cost</w:t>
      </w:r>
      <w:r w:rsidR="00E00445">
        <w:rPr>
          <w:b/>
          <w:bCs/>
        </w:rPr>
        <w:t xml:space="preserve"> Supported Services</w:t>
      </w:r>
    </w:p>
    <w:p w14:paraId="2B3FB526" w14:textId="77777777" w:rsidR="00E00445" w:rsidRPr="004A1BDC" w:rsidRDefault="00E00445" w:rsidP="00422535">
      <w:pPr>
        <w:pStyle w:val="BodyTextIndent2"/>
        <w:spacing w:before="120"/>
        <w:jc w:val="both"/>
        <w:rPr>
          <w:u w:val="single"/>
        </w:rPr>
      </w:pPr>
      <w:r>
        <w:t xml:space="preserve">Provide the line counts by incumbent local exchange carrier (ILEC) study area or wire center </w:t>
      </w:r>
      <w:r w:rsidR="00621806">
        <w:t xml:space="preserve">that were </w:t>
      </w:r>
      <w:r>
        <w:t xml:space="preserve">reported to </w:t>
      </w:r>
      <w:r w:rsidR="00E87B8F">
        <w:t xml:space="preserve">the </w:t>
      </w:r>
      <w:r>
        <w:t>Universal Service Administrative Company (USAC)</w:t>
      </w:r>
      <w:r w:rsidR="003A3233">
        <w:t xml:space="preserve"> for the same year as the cost data is reported</w:t>
      </w:r>
      <w:r>
        <w:t xml:space="preserve">.  </w:t>
      </w:r>
      <w:r w:rsidR="003E2F16" w:rsidRPr="004A1BDC">
        <w:rPr>
          <w:u w:val="single"/>
        </w:rPr>
        <w:t xml:space="preserve">Category 1.3 loops and broadband only loops should be reported separately.  </w:t>
      </w:r>
    </w:p>
    <w:p w14:paraId="46153B43" w14:textId="77777777" w:rsidR="00621806" w:rsidRDefault="00621806" w:rsidP="00657E5D">
      <w:pPr>
        <w:pStyle w:val="BodyTextIndent2"/>
        <w:jc w:val="both"/>
      </w:pPr>
    </w:p>
    <w:p w14:paraId="378F459E" w14:textId="77777777" w:rsidR="00E00445" w:rsidRDefault="008B3602" w:rsidP="008B3602">
      <w:pPr>
        <w:pStyle w:val="BodyTextIndent2"/>
        <w:ind w:left="0"/>
        <w:jc w:val="both"/>
      </w:pPr>
      <w:r>
        <w:rPr>
          <w:b/>
          <w:bCs/>
        </w:rPr>
        <w:t>2</w:t>
      </w:r>
      <w:r w:rsidR="00E00445">
        <w:rPr>
          <w:b/>
          <w:bCs/>
        </w:rPr>
        <w:t xml:space="preserve">.  </w:t>
      </w:r>
      <w:r w:rsidR="003A3233">
        <w:rPr>
          <w:b/>
          <w:bCs/>
        </w:rPr>
        <w:t>Attachment</w:t>
      </w:r>
      <w:r w:rsidR="00621806">
        <w:rPr>
          <w:b/>
          <w:bCs/>
        </w:rPr>
        <w:t xml:space="preserve">s </w:t>
      </w:r>
      <w:r w:rsidR="003A3233">
        <w:rPr>
          <w:b/>
          <w:bCs/>
        </w:rPr>
        <w:t xml:space="preserve">2 and 3 </w:t>
      </w:r>
      <w:r w:rsidR="00621806">
        <w:rPr>
          <w:b/>
          <w:bCs/>
        </w:rPr>
        <w:t>–</w:t>
      </w:r>
      <w:r w:rsidR="003A3233">
        <w:rPr>
          <w:b/>
          <w:bCs/>
        </w:rPr>
        <w:t xml:space="preserve"> </w:t>
      </w:r>
      <w:r w:rsidR="005E52E4">
        <w:rPr>
          <w:b/>
          <w:bCs/>
        </w:rPr>
        <w:t xml:space="preserve">ILEC </w:t>
      </w:r>
      <w:r>
        <w:rPr>
          <w:b/>
          <w:bCs/>
        </w:rPr>
        <w:t>ETC</w:t>
      </w:r>
      <w:r w:rsidR="00621806">
        <w:rPr>
          <w:b/>
          <w:bCs/>
        </w:rPr>
        <w:t xml:space="preserve"> and Competitive </w:t>
      </w:r>
      <w:smartTag w:uri="urn:schemas-microsoft-com:office:smarttags" w:element="stockticker">
        <w:r w:rsidR="00621806">
          <w:rPr>
            <w:b/>
            <w:bCs/>
          </w:rPr>
          <w:t>ETC</w:t>
        </w:r>
      </w:smartTag>
      <w:r w:rsidR="00621806">
        <w:rPr>
          <w:b/>
          <w:bCs/>
        </w:rPr>
        <w:t xml:space="preserve"> Investment and Expense </w:t>
      </w:r>
      <w:r w:rsidR="00E00445">
        <w:rPr>
          <w:b/>
          <w:bCs/>
        </w:rPr>
        <w:t>Report</w:t>
      </w:r>
      <w:r w:rsidR="00B52780">
        <w:rPr>
          <w:b/>
          <w:bCs/>
        </w:rPr>
        <w:t>s</w:t>
      </w:r>
      <w:r w:rsidR="00E00445">
        <w:rPr>
          <w:b/>
          <w:bCs/>
        </w:rPr>
        <w:t xml:space="preserve"> </w:t>
      </w:r>
    </w:p>
    <w:p w14:paraId="0E6E94CB" w14:textId="77777777" w:rsidR="00E00445" w:rsidRPr="0039137E" w:rsidRDefault="00E00445" w:rsidP="00422535">
      <w:pPr>
        <w:pStyle w:val="BodyTextIndent"/>
        <w:spacing w:before="240" w:after="120"/>
        <w:ind w:left="720"/>
        <w:jc w:val="both"/>
        <w:rPr>
          <w:b/>
          <w:u w:val="single"/>
        </w:rPr>
      </w:pPr>
      <w:r w:rsidRPr="0039137E">
        <w:rPr>
          <w:b/>
          <w:u w:val="single"/>
        </w:rPr>
        <w:t>a</w:t>
      </w:r>
      <w:r w:rsidR="00327FDD" w:rsidRPr="0039137E">
        <w:rPr>
          <w:b/>
          <w:u w:val="single"/>
        </w:rPr>
        <w:t>. I</w:t>
      </w:r>
      <w:r w:rsidR="005E52E4">
        <w:rPr>
          <w:b/>
          <w:u w:val="single"/>
        </w:rPr>
        <w:t xml:space="preserve">LEC </w:t>
      </w:r>
      <w:smartTag w:uri="urn:schemas-microsoft-com:office:smarttags" w:element="stockticker">
        <w:r w:rsidR="00327FDD" w:rsidRPr="0039137E">
          <w:rPr>
            <w:b/>
            <w:u w:val="single"/>
          </w:rPr>
          <w:t>ETC</w:t>
        </w:r>
      </w:smartTag>
      <w:r w:rsidR="00327FDD" w:rsidRPr="0039137E">
        <w:rPr>
          <w:b/>
          <w:u w:val="single"/>
        </w:rPr>
        <w:t xml:space="preserve"> Report Format </w:t>
      </w:r>
    </w:p>
    <w:p w14:paraId="434EF3C8" w14:textId="77777777" w:rsidR="00422535" w:rsidRDefault="003A3233" w:rsidP="00657E5D">
      <w:pPr>
        <w:pStyle w:val="BodyTextIndent"/>
        <w:ind w:left="720"/>
        <w:jc w:val="both"/>
      </w:pPr>
      <w:r>
        <w:t>Attachment 2a</w:t>
      </w:r>
      <w:r w:rsidR="00E00445">
        <w:t xml:space="preserve"> is used by I</w:t>
      </w:r>
      <w:r w:rsidR="008B3602">
        <w:t>ncumbent ETCs t</w:t>
      </w:r>
      <w:r w:rsidR="00E00445">
        <w:t>o report the</w:t>
      </w:r>
      <w:r w:rsidR="00E73CBF">
        <w:t xml:space="preserve">ir </w:t>
      </w:r>
      <w:r w:rsidR="00E00445">
        <w:t xml:space="preserve">use of </w:t>
      </w:r>
      <w:r w:rsidR="00C13EF2">
        <w:t>federal high-cost support recei</w:t>
      </w:r>
      <w:r w:rsidR="00422535">
        <w:t xml:space="preserve">pts for </w:t>
      </w:r>
      <w:r w:rsidR="00E00445">
        <w:t xml:space="preserve">the prior year.  </w:t>
      </w:r>
      <w:r w:rsidR="00E73CBF">
        <w:t xml:space="preserve">The report is a modified version of the cost information submitted to </w:t>
      </w:r>
      <w:r w:rsidR="00E87B8F">
        <w:t>USAC</w:t>
      </w:r>
      <w:r w:rsidR="00E73CBF">
        <w:t xml:space="preserve"> for </w:t>
      </w:r>
      <w:r w:rsidR="00422535">
        <w:t xml:space="preserve">legacy </w:t>
      </w:r>
      <w:r w:rsidR="00E73CBF">
        <w:t>high</w:t>
      </w:r>
      <w:r w:rsidR="008B3602">
        <w:t>-</w:t>
      </w:r>
      <w:r w:rsidR="00E73CBF">
        <w:t>cost support, with the p</w:t>
      </w:r>
      <w:r w:rsidR="00E00445">
        <w:t xml:space="preserve">rior year data </w:t>
      </w:r>
      <w:r w:rsidR="00E73CBF">
        <w:t xml:space="preserve">used to </w:t>
      </w:r>
      <w:r w:rsidR="00E00445">
        <w:t xml:space="preserve">evaluate past certifications provided by the companies.  Amounts reported should reflect the </w:t>
      </w:r>
      <w:r w:rsidR="00E00445">
        <w:rPr>
          <w:u w:val="single"/>
        </w:rPr>
        <w:t>amounts actually used</w:t>
      </w:r>
      <w:r w:rsidR="00E00445" w:rsidRPr="00EA0952">
        <w:t xml:space="preserve"> </w:t>
      </w:r>
      <w:r w:rsidR="00E00445">
        <w:t>to provide universal service in the supported areas for which the support was paid.</w:t>
      </w:r>
      <w:r w:rsidR="00E00445">
        <w:rPr>
          <w:rStyle w:val="FootnoteReference"/>
        </w:rPr>
        <w:footnoteReference w:id="1"/>
      </w:r>
      <w:r w:rsidR="00E00445">
        <w:t xml:space="preserve">  </w:t>
      </w:r>
      <w:r w:rsidR="005E52E4">
        <w:t>Support</w:t>
      </w:r>
      <w:r w:rsidR="00E00445">
        <w:t xml:space="preserve"> should be segregated by </w:t>
      </w:r>
      <w:r w:rsidR="005E52E4">
        <w:t xml:space="preserve">the </w:t>
      </w:r>
      <w:r w:rsidR="00E00445">
        <w:t xml:space="preserve">type of </w:t>
      </w:r>
      <w:r w:rsidR="00E87B8F">
        <w:t xml:space="preserve">federal </w:t>
      </w:r>
      <w:r w:rsidR="005E52E4">
        <w:t>high-cost</w:t>
      </w:r>
      <w:r w:rsidR="00E00445">
        <w:t xml:space="preserve"> support received</w:t>
      </w:r>
      <w:r w:rsidR="00B30816">
        <w:t xml:space="preserve">.  Include all federal high-cost support. </w:t>
      </w:r>
    </w:p>
    <w:p w14:paraId="46EB16CC" w14:textId="77777777" w:rsidR="00422535" w:rsidRDefault="00E00445" w:rsidP="00422535">
      <w:pPr>
        <w:pStyle w:val="BodyTextIndent"/>
        <w:spacing w:before="240"/>
        <w:ind w:left="720"/>
        <w:jc w:val="both"/>
        <w:rPr>
          <w:b/>
        </w:rPr>
      </w:pPr>
      <w:r>
        <w:t>K</w:t>
      </w:r>
      <w:r w:rsidR="00E87B8F">
        <w:t>USF</w:t>
      </w:r>
      <w:r>
        <w:t xml:space="preserve"> </w:t>
      </w:r>
      <w:r w:rsidR="00E87B8F">
        <w:t>support</w:t>
      </w:r>
      <w:r>
        <w:t xml:space="preserve"> </w:t>
      </w:r>
      <w:r w:rsidRPr="00BE6EC2">
        <w:t xml:space="preserve">is </w:t>
      </w:r>
      <w:r w:rsidR="005E52E4">
        <w:t>r</w:t>
      </w:r>
      <w:r w:rsidR="00FD1789" w:rsidRPr="00BE6EC2">
        <w:t xml:space="preserve">equired to be </w:t>
      </w:r>
      <w:r w:rsidRPr="00BE6EC2">
        <w:t>certifi</w:t>
      </w:r>
      <w:r w:rsidR="00FD1789" w:rsidRPr="00BE6EC2">
        <w:t xml:space="preserve">ed and, </w:t>
      </w:r>
      <w:r w:rsidRPr="00BE6EC2">
        <w:t xml:space="preserve">similar to </w:t>
      </w:r>
      <w:r w:rsidR="00E87B8F">
        <w:t>f</w:t>
      </w:r>
      <w:r w:rsidRPr="00BE6EC2">
        <w:t xml:space="preserve">ederal </w:t>
      </w:r>
      <w:r w:rsidR="005E52E4">
        <w:t>support</w:t>
      </w:r>
      <w:r w:rsidR="00FD1789" w:rsidRPr="00BE6EC2">
        <w:t xml:space="preserve">, </w:t>
      </w:r>
      <w:r w:rsidR="00422535">
        <w:t xml:space="preserve">KUSF </w:t>
      </w:r>
      <w:r w:rsidRPr="00BE6EC2">
        <w:t>support must be used to</w:t>
      </w:r>
      <w:r>
        <w:t xml:space="preserve"> provide and maintain universal service.</w:t>
      </w:r>
      <w:r w:rsidR="00EA0952">
        <w:t xml:space="preserve">  </w:t>
      </w:r>
      <w:r w:rsidR="00B30816" w:rsidRPr="00B30816">
        <w:rPr>
          <w:b/>
        </w:rPr>
        <w:t>All Federal and KUSF h</w:t>
      </w:r>
      <w:r w:rsidR="00EA0952" w:rsidRPr="008F262A">
        <w:rPr>
          <w:b/>
        </w:rPr>
        <w:t xml:space="preserve">igh-cost support reported should </w:t>
      </w:r>
      <w:r w:rsidR="007B7434" w:rsidRPr="008F262A">
        <w:rPr>
          <w:b/>
        </w:rPr>
        <w:t xml:space="preserve">reflect </w:t>
      </w:r>
      <w:r w:rsidR="00EA0952" w:rsidRPr="008F262A">
        <w:rPr>
          <w:b/>
        </w:rPr>
        <w:t xml:space="preserve">the gross amount, not the </w:t>
      </w:r>
      <w:r w:rsidR="008F262A">
        <w:rPr>
          <w:b/>
        </w:rPr>
        <w:t xml:space="preserve">net </w:t>
      </w:r>
      <w:r w:rsidR="00EA0952" w:rsidRPr="008F262A">
        <w:rPr>
          <w:b/>
        </w:rPr>
        <w:t xml:space="preserve">amount received after </w:t>
      </w:r>
      <w:r w:rsidR="00422535">
        <w:rPr>
          <w:b/>
        </w:rPr>
        <w:t xml:space="preserve">deducting </w:t>
      </w:r>
      <w:r w:rsidR="00EA0952" w:rsidRPr="008F262A">
        <w:rPr>
          <w:b/>
        </w:rPr>
        <w:t xml:space="preserve">assessments </w:t>
      </w:r>
      <w:r w:rsidR="008F262A">
        <w:rPr>
          <w:b/>
        </w:rPr>
        <w:t>owed to the Fund</w:t>
      </w:r>
      <w:r w:rsidR="00422535">
        <w:rPr>
          <w:b/>
        </w:rPr>
        <w:t xml:space="preserve">.  </w:t>
      </w:r>
      <w:r w:rsidR="008F262A">
        <w:rPr>
          <w:b/>
        </w:rPr>
        <w:t>Lifeline support recei</w:t>
      </w:r>
      <w:r w:rsidR="00422535">
        <w:rPr>
          <w:b/>
        </w:rPr>
        <w:t xml:space="preserve">pts </w:t>
      </w:r>
      <w:r w:rsidR="008F262A">
        <w:rPr>
          <w:b/>
        </w:rPr>
        <w:t>should not be included in the amount of high-cost support received</w:t>
      </w:r>
      <w:r w:rsidR="005F40BA">
        <w:rPr>
          <w:b/>
        </w:rPr>
        <w:t xml:space="preserve">.  </w:t>
      </w:r>
      <w:r w:rsidR="008F262A">
        <w:rPr>
          <w:b/>
        </w:rPr>
        <w:t xml:space="preserve">The high-cost KUSF amount listed on Staff Exhibit 1 should be reported for KUSF high-cost support.  </w:t>
      </w:r>
    </w:p>
    <w:p w14:paraId="43D67377" w14:textId="77777777" w:rsidR="003A3233" w:rsidRDefault="003A3233" w:rsidP="00422535">
      <w:pPr>
        <w:pStyle w:val="BodyTextIndent"/>
        <w:spacing w:before="120"/>
        <w:ind w:left="720"/>
        <w:jc w:val="both"/>
      </w:pPr>
      <w:r>
        <w:t>Attachment 2b is an exam</w:t>
      </w:r>
      <w:r w:rsidR="00762B25">
        <w:t xml:space="preserve">ple </w:t>
      </w:r>
      <w:r w:rsidR="00E87B8F">
        <w:t>of</w:t>
      </w:r>
      <w:r w:rsidR="00762B25">
        <w:t xml:space="preserve"> how to complete Form 2a.</w:t>
      </w:r>
    </w:p>
    <w:p w14:paraId="15187087" w14:textId="77777777" w:rsidR="00E00445" w:rsidRPr="0039137E" w:rsidRDefault="00E00445" w:rsidP="00422535">
      <w:pPr>
        <w:pStyle w:val="BodyTextIndent"/>
        <w:spacing w:before="240" w:after="120"/>
        <w:ind w:left="720"/>
        <w:jc w:val="both"/>
        <w:rPr>
          <w:b/>
          <w:u w:val="single"/>
        </w:rPr>
      </w:pPr>
      <w:r w:rsidRPr="0039137E">
        <w:rPr>
          <w:b/>
          <w:u w:val="single"/>
        </w:rPr>
        <w:t>b. Competi</w:t>
      </w:r>
      <w:r w:rsidR="00327FDD" w:rsidRPr="0039137E">
        <w:rPr>
          <w:b/>
          <w:u w:val="single"/>
        </w:rPr>
        <w:t xml:space="preserve">tive </w:t>
      </w:r>
      <w:smartTag w:uri="urn:schemas-microsoft-com:office:smarttags" w:element="stockticker">
        <w:r w:rsidR="00327FDD" w:rsidRPr="0039137E">
          <w:rPr>
            <w:b/>
            <w:u w:val="single"/>
          </w:rPr>
          <w:t>ETC</w:t>
        </w:r>
      </w:smartTag>
      <w:r w:rsidR="00327FDD" w:rsidRPr="0039137E">
        <w:rPr>
          <w:b/>
          <w:u w:val="single"/>
        </w:rPr>
        <w:t xml:space="preserve"> (CETC) Report Format </w:t>
      </w:r>
    </w:p>
    <w:p w14:paraId="65A1ABC7" w14:textId="77777777" w:rsidR="00422535" w:rsidRDefault="003A3233" w:rsidP="00657E5D">
      <w:pPr>
        <w:pStyle w:val="BodyTextIndent"/>
        <w:ind w:left="720"/>
        <w:jc w:val="both"/>
        <w:rPr>
          <w:b/>
        </w:rPr>
      </w:pPr>
      <w:r>
        <w:t>Attachment 3a</w:t>
      </w:r>
      <w:r w:rsidR="00E00445">
        <w:t xml:space="preserve"> is used by CETCs to report the</w:t>
      </w:r>
      <w:r w:rsidR="00E73CBF">
        <w:t xml:space="preserve">ir </w:t>
      </w:r>
      <w:r w:rsidR="00E00445">
        <w:t xml:space="preserve">use of </w:t>
      </w:r>
      <w:r w:rsidR="00400B0D">
        <w:t xml:space="preserve">federal </w:t>
      </w:r>
      <w:r w:rsidR="005E52E4">
        <w:t>high-cost</w:t>
      </w:r>
      <w:r w:rsidR="00E00445">
        <w:t xml:space="preserve"> funds </w:t>
      </w:r>
      <w:r w:rsidR="005E52E4">
        <w:t xml:space="preserve">received </w:t>
      </w:r>
      <w:r w:rsidR="00762B25">
        <w:t>in</w:t>
      </w:r>
      <w:r w:rsidR="00E00445">
        <w:t xml:space="preserve"> the prior year.  </w:t>
      </w:r>
      <w:r w:rsidR="00E73CBF">
        <w:t>P</w:t>
      </w:r>
      <w:r w:rsidR="00E00445">
        <w:t xml:space="preserve">rior year data is </w:t>
      </w:r>
      <w:r w:rsidR="00E73CBF">
        <w:t xml:space="preserve">used </w:t>
      </w:r>
      <w:r w:rsidR="00E00445">
        <w:t xml:space="preserve">to evaluate past certifications provided by the companies.  Amounts reported should reflect the </w:t>
      </w:r>
      <w:r w:rsidR="00E00445">
        <w:rPr>
          <w:u w:val="single"/>
        </w:rPr>
        <w:t xml:space="preserve">amounts actually </w:t>
      </w:r>
      <w:r w:rsidR="00E87B8F">
        <w:rPr>
          <w:u w:val="single"/>
        </w:rPr>
        <w:t>expended</w:t>
      </w:r>
      <w:r w:rsidR="00E00445">
        <w:t xml:space="preserve"> to provide </w:t>
      </w:r>
      <w:r w:rsidR="00E00445">
        <w:lastRenderedPageBreak/>
        <w:t>universal service in the supported areas for which the support was paid.</w:t>
      </w:r>
      <w:r w:rsidR="00E00445">
        <w:rPr>
          <w:rStyle w:val="FootnoteReference"/>
        </w:rPr>
        <w:footnoteReference w:id="2"/>
      </w:r>
      <w:r w:rsidR="00E00445">
        <w:t xml:space="preserve">  If no </w:t>
      </w:r>
      <w:r w:rsidR="00DA70AA">
        <w:t>universal service</w:t>
      </w:r>
      <w:r w:rsidR="00E00445">
        <w:t xml:space="preserve"> support was received for the prior year, the company </w:t>
      </w:r>
      <w:r w:rsidR="005F40BA">
        <w:t xml:space="preserve">should </w:t>
      </w:r>
      <w:r w:rsidR="00E00445">
        <w:t xml:space="preserve">file a statement to that effect.  Cost information is split by new investment expenditures and expenses.  This is compared to the amount of </w:t>
      </w:r>
      <w:r w:rsidR="000B680E">
        <w:t>federal high-cost</w:t>
      </w:r>
      <w:r w:rsidR="00E00445">
        <w:t xml:space="preserve"> support received.  </w:t>
      </w:r>
      <w:r w:rsidR="00EA0952" w:rsidRPr="008F262A">
        <w:rPr>
          <w:b/>
        </w:rPr>
        <w:t xml:space="preserve">High-cost support reported should be the gross amount, not the </w:t>
      </w:r>
      <w:r w:rsidR="00422535">
        <w:rPr>
          <w:b/>
        </w:rPr>
        <w:t xml:space="preserve">net </w:t>
      </w:r>
      <w:r w:rsidR="00EA0952" w:rsidRPr="008F262A">
        <w:rPr>
          <w:b/>
        </w:rPr>
        <w:t xml:space="preserve">amount received after </w:t>
      </w:r>
      <w:r w:rsidR="00422535">
        <w:rPr>
          <w:b/>
        </w:rPr>
        <w:t xml:space="preserve">deducting </w:t>
      </w:r>
      <w:r w:rsidR="00EA0952" w:rsidRPr="008F262A">
        <w:rPr>
          <w:b/>
        </w:rPr>
        <w:t>assessments</w:t>
      </w:r>
      <w:r w:rsidR="00422535">
        <w:rPr>
          <w:b/>
        </w:rPr>
        <w:t xml:space="preserve">.  </w:t>
      </w:r>
    </w:p>
    <w:p w14:paraId="0647EF1A" w14:textId="77777777" w:rsidR="00E00445" w:rsidRDefault="003A3233" w:rsidP="00422535">
      <w:pPr>
        <w:pStyle w:val="BodyTextIndent"/>
        <w:spacing w:before="120"/>
        <w:ind w:left="720"/>
        <w:jc w:val="both"/>
      </w:pPr>
      <w:r>
        <w:t>Attachment 3b is</w:t>
      </w:r>
      <w:r w:rsidR="00E00445">
        <w:t xml:space="preserve"> </w:t>
      </w:r>
      <w:r>
        <w:t xml:space="preserve">an example showing how to complete </w:t>
      </w:r>
      <w:r w:rsidR="00762B25">
        <w:t>F</w:t>
      </w:r>
      <w:r w:rsidR="00E00445">
        <w:t>orm</w:t>
      </w:r>
      <w:r w:rsidR="00762B25">
        <w:t xml:space="preserve"> </w:t>
      </w:r>
      <w:r w:rsidR="003D31DC">
        <w:t>3</w:t>
      </w:r>
      <w:r w:rsidR="00762B25">
        <w:t>a</w:t>
      </w:r>
      <w:r w:rsidR="00E00445">
        <w:t>.</w:t>
      </w:r>
    </w:p>
    <w:p w14:paraId="10AC6AF3" w14:textId="77777777" w:rsidR="00E00445" w:rsidRDefault="00E00445" w:rsidP="00657E5D">
      <w:pPr>
        <w:pStyle w:val="BodyTextIndent"/>
        <w:ind w:left="720"/>
        <w:jc w:val="both"/>
      </w:pPr>
    </w:p>
    <w:p w14:paraId="418FB016" w14:textId="77777777" w:rsidR="00E00445" w:rsidRDefault="00E00445" w:rsidP="00657E5D">
      <w:pPr>
        <w:pStyle w:val="BodyTextIndent"/>
        <w:ind w:left="720"/>
        <w:jc w:val="both"/>
      </w:pPr>
      <w:r>
        <w:t xml:space="preserve">The </w:t>
      </w:r>
      <w:r w:rsidRPr="00327FDD">
        <w:rPr>
          <w:u w:val="single"/>
        </w:rPr>
        <w:t>company should exclude the cost of transport between switches</w:t>
      </w:r>
      <w:r w:rsidR="00422535" w:rsidRPr="00422535">
        <w:t xml:space="preserve"> to </w:t>
      </w:r>
      <w:r w:rsidR="00422535">
        <w:t xml:space="preserve">ensure consistent </w:t>
      </w:r>
      <w:r>
        <w:t>reporting</w:t>
      </w:r>
      <w:r w:rsidR="00422535">
        <w:t xml:space="preserve"> </w:t>
      </w:r>
      <w:r>
        <w:t>with the costs submitted by the Incumbent ETCs.  Once a call leaves the local switch, it is on the interoffice network and costs for those facilities are not included.  The switch is the devi</w:t>
      </w:r>
      <w:r w:rsidR="00422535">
        <w:t>c</w:t>
      </w:r>
      <w:r>
        <w:t>e that provides dial tone and/or switching the call to the proper location for termination.  This can be a smart remote with stand-alone capability</w:t>
      </w:r>
      <w:r>
        <w:rPr>
          <w:rStyle w:val="FootnoteReference"/>
        </w:rPr>
        <w:footnoteReference w:id="3"/>
      </w:r>
      <w:r>
        <w:t xml:space="preserve"> or </w:t>
      </w:r>
      <w:r w:rsidR="00E87B8F">
        <w:t xml:space="preserve">a </w:t>
      </w:r>
      <w:r>
        <w:t xml:space="preserve">stand-alone/host switch.  </w:t>
      </w:r>
    </w:p>
    <w:p w14:paraId="40632498" w14:textId="77777777" w:rsidR="00E00445" w:rsidRPr="0039137E" w:rsidRDefault="00E00445" w:rsidP="00422535">
      <w:pPr>
        <w:pStyle w:val="BodyTextIndent"/>
        <w:spacing w:before="240" w:after="120"/>
        <w:ind w:left="720"/>
        <w:jc w:val="both"/>
        <w:rPr>
          <w:b/>
          <w:u w:val="single"/>
        </w:rPr>
      </w:pPr>
      <w:r w:rsidRPr="0039137E">
        <w:rPr>
          <w:b/>
          <w:u w:val="single"/>
        </w:rPr>
        <w:t>c. Allocation Methods</w:t>
      </w:r>
    </w:p>
    <w:p w14:paraId="367FA493" w14:textId="77777777" w:rsidR="00E00445" w:rsidRDefault="00E00445" w:rsidP="00657E5D">
      <w:pPr>
        <w:pStyle w:val="BodyTextIndent"/>
        <w:ind w:left="720"/>
        <w:jc w:val="both"/>
      </w:pPr>
      <w:r>
        <w:t xml:space="preserve">The cost reports </w:t>
      </w:r>
      <w:r w:rsidR="00E73CBF">
        <w:t xml:space="preserve">attempt </w:t>
      </w:r>
      <w:r>
        <w:t>to capture the cost to provide universal service</w:t>
      </w:r>
      <w:r w:rsidR="00E73CBF">
        <w:t xml:space="preserve"> and exclude c</w:t>
      </w:r>
      <w:r>
        <w:t>ertain types of investments and expenses</w:t>
      </w:r>
      <w:r w:rsidR="00E73CBF">
        <w:t xml:space="preserve">.  </w:t>
      </w:r>
      <w:r>
        <w:t>The FCC has deregulated some services</w:t>
      </w:r>
      <w:r w:rsidR="00E73CBF">
        <w:t xml:space="preserve">, including </w:t>
      </w:r>
      <w:r>
        <w:t>voice messaging and inside wire</w:t>
      </w:r>
      <w:r w:rsidR="00E73CBF">
        <w:t xml:space="preserve">; therefore, they </w:t>
      </w:r>
      <w:r>
        <w:t xml:space="preserve">should be excluded.  </w:t>
      </w:r>
    </w:p>
    <w:p w14:paraId="59D96E92" w14:textId="77777777" w:rsidR="00E00445" w:rsidRDefault="00E00445" w:rsidP="00422535">
      <w:pPr>
        <w:pStyle w:val="BodyTextIndent"/>
        <w:spacing w:before="240"/>
        <w:ind w:left="720"/>
        <w:jc w:val="both"/>
      </w:pPr>
      <w:r>
        <w:t xml:space="preserve">The allocation of new investments and expenses play an important role </w:t>
      </w:r>
      <w:r w:rsidR="00E73CBF">
        <w:t xml:space="preserve">in </w:t>
      </w:r>
      <w:r>
        <w:t>properly identify</w:t>
      </w:r>
      <w:r w:rsidR="00E73CBF">
        <w:t xml:space="preserve">ing </w:t>
      </w:r>
      <w:r>
        <w:t xml:space="preserve">the costs associated with USF supported areas.  Incumbent LECs utilize a series of allocation rules </w:t>
      </w:r>
      <w:r w:rsidR="00422535">
        <w:t xml:space="preserve">via Part 36 </w:t>
      </w:r>
      <w:r>
        <w:t xml:space="preserve">Separations </w:t>
      </w:r>
      <w:r w:rsidR="00422535">
        <w:t xml:space="preserve">Rules </w:t>
      </w:r>
      <w:r>
        <w:t>that are specific and documented.  However, even I</w:t>
      </w:r>
      <w:r w:rsidR="00762B25">
        <w:t>LECs</w:t>
      </w:r>
      <w:r>
        <w:t xml:space="preserve"> may encounter situations where only a portion of their territory receives </w:t>
      </w:r>
      <w:r w:rsidR="005E52E4">
        <w:t>high-cost</w:t>
      </w:r>
      <w:r>
        <w:t xml:space="preserve"> support.  </w:t>
      </w:r>
    </w:p>
    <w:p w14:paraId="0573C8B6" w14:textId="77777777" w:rsidR="00E00445" w:rsidRDefault="00E00445" w:rsidP="00422535">
      <w:pPr>
        <w:pStyle w:val="BodyTextIndent"/>
        <w:spacing w:before="240"/>
        <w:ind w:left="720"/>
        <w:jc w:val="both"/>
      </w:pPr>
      <w:r>
        <w:t>CETCs</w:t>
      </w:r>
      <w:r w:rsidR="00422535">
        <w:t xml:space="preserve"> </w:t>
      </w:r>
      <w:r>
        <w:t xml:space="preserve">may serve exchanges that are supported </w:t>
      </w:r>
      <w:r w:rsidR="00422535">
        <w:t xml:space="preserve">and </w:t>
      </w:r>
      <w:r>
        <w:t>areas that are not supported.  Some costs may be specific to the supported area, while others may involve both areas.  A number of valid methods are available to make these allocations.  Below is a list of examples that will normally be acceptable in making allocations:</w:t>
      </w:r>
    </w:p>
    <w:p w14:paraId="45E79049" w14:textId="77777777" w:rsidR="00E00445" w:rsidRDefault="00E73CBF" w:rsidP="00422535">
      <w:pPr>
        <w:pStyle w:val="BodyTextIndent"/>
        <w:spacing w:before="240"/>
        <w:ind w:left="720"/>
        <w:jc w:val="both"/>
      </w:pPr>
      <w:r>
        <w:t>O</w:t>
      </w:r>
      <w:r w:rsidR="00E00445">
        <w:t>utside plant projects –the supported areas’ allocations can be determined as follow:</w:t>
      </w:r>
    </w:p>
    <w:p w14:paraId="5F9713C3" w14:textId="77777777" w:rsidR="00E00445" w:rsidRDefault="00E00445" w:rsidP="00422535">
      <w:pPr>
        <w:pStyle w:val="BodyTextIndent"/>
        <w:numPr>
          <w:ilvl w:val="0"/>
          <w:numId w:val="3"/>
        </w:numPr>
        <w:spacing w:before="120"/>
        <w:jc w:val="both"/>
      </w:pPr>
      <w:r>
        <w:t>Identify the specific costs in supported areas and assign it as a qualified cost.</w:t>
      </w:r>
    </w:p>
    <w:p w14:paraId="41DE1879" w14:textId="77777777" w:rsidR="00E00445" w:rsidRDefault="00E00445" w:rsidP="00422535">
      <w:pPr>
        <w:pStyle w:val="BodyTextIndent"/>
        <w:numPr>
          <w:ilvl w:val="0"/>
          <w:numId w:val="3"/>
        </w:numPr>
        <w:spacing w:before="120"/>
        <w:jc w:val="both"/>
      </w:pPr>
      <w:r>
        <w:t xml:space="preserve">Determine the number of lines in the supported area versus the total lines served by the facilities.  </w:t>
      </w:r>
      <w:r w:rsidR="003E2F16">
        <w:t>Do not include broadband</w:t>
      </w:r>
      <w:r w:rsidR="004A1BDC">
        <w:t>-</w:t>
      </w:r>
      <w:r w:rsidR="003E2F16">
        <w:t>only use lines.</w:t>
      </w:r>
    </w:p>
    <w:p w14:paraId="005DC4BC" w14:textId="77777777" w:rsidR="00E00445" w:rsidRDefault="00E00445" w:rsidP="00422535">
      <w:pPr>
        <w:pStyle w:val="BodyTextIndent"/>
        <w:numPr>
          <w:ilvl w:val="0"/>
          <w:numId w:val="3"/>
        </w:numPr>
        <w:spacing w:before="120"/>
        <w:jc w:val="both"/>
      </w:pPr>
      <w:r>
        <w:t>Determine the geographic area in the supported area versus the total area served</w:t>
      </w:r>
      <w:r w:rsidR="00E73CBF">
        <w:t xml:space="preserve"> </w:t>
      </w:r>
      <w:r>
        <w:t>(this method is especially applicable to cellular towers).</w:t>
      </w:r>
    </w:p>
    <w:p w14:paraId="28510D8E" w14:textId="77777777" w:rsidR="00E00445" w:rsidRDefault="00E00445" w:rsidP="00422535">
      <w:pPr>
        <w:pStyle w:val="BodyTextIndent"/>
        <w:numPr>
          <w:ilvl w:val="0"/>
          <w:numId w:val="3"/>
        </w:numPr>
        <w:spacing w:before="120"/>
        <w:jc w:val="both"/>
      </w:pPr>
      <w:r>
        <w:t>Calculate the percent of miles on a cable that serves a supported area versus the total miles to all the areas.</w:t>
      </w:r>
    </w:p>
    <w:p w14:paraId="4881CF56" w14:textId="77777777" w:rsidR="00E00445" w:rsidRDefault="00E00445" w:rsidP="00657E5D">
      <w:pPr>
        <w:pStyle w:val="BodyTextIndent"/>
        <w:numPr>
          <w:ilvl w:val="0"/>
          <w:numId w:val="3"/>
        </w:numPr>
        <w:jc w:val="both"/>
      </w:pPr>
      <w:r>
        <w:lastRenderedPageBreak/>
        <w:t xml:space="preserve">Calculate the percent of fiber strands or cable pair that go to a supported area versus the total strands in service.  </w:t>
      </w:r>
    </w:p>
    <w:p w14:paraId="36FBFACC" w14:textId="77777777" w:rsidR="00E00445" w:rsidRDefault="00E00445" w:rsidP="00422535">
      <w:pPr>
        <w:pStyle w:val="BodyTextIndent"/>
        <w:spacing w:before="240"/>
        <w:ind w:left="720"/>
        <w:jc w:val="both"/>
      </w:pPr>
      <w:r>
        <w:t xml:space="preserve">Expenses may be allocated based on the allocation determined for </w:t>
      </w:r>
      <w:r w:rsidR="00E73CBF">
        <w:t xml:space="preserve">the related </w:t>
      </w:r>
      <w:r>
        <w:t>investment</w:t>
      </w:r>
      <w:r w:rsidR="00E73CBF">
        <w:t xml:space="preserve">, or </w:t>
      </w:r>
      <w:r>
        <w:t>based on a percent</w:t>
      </w:r>
      <w:r w:rsidR="00EC480B">
        <w:t>age</w:t>
      </w:r>
      <w:r>
        <w:t xml:space="preserve"> of lines or customers in the supported areas.  </w:t>
      </w:r>
    </w:p>
    <w:p w14:paraId="7BD134CE" w14:textId="77777777" w:rsidR="00E00445" w:rsidRDefault="00E00445" w:rsidP="00422535">
      <w:pPr>
        <w:pStyle w:val="BodyTextIndent"/>
        <w:spacing w:before="240"/>
        <w:ind w:left="720"/>
        <w:jc w:val="both"/>
      </w:pPr>
      <w:r>
        <w:t xml:space="preserve">Maintenance expense may be allocated based on the number of items being maintained that are in the supported areas.  </w:t>
      </w:r>
    </w:p>
    <w:p w14:paraId="23E3B4BB" w14:textId="77777777" w:rsidR="00E00445" w:rsidRPr="00B14360" w:rsidRDefault="00E00445" w:rsidP="00422535">
      <w:pPr>
        <w:pStyle w:val="BodyTextIndent"/>
        <w:spacing w:before="240"/>
        <w:ind w:left="720"/>
        <w:jc w:val="both"/>
        <w:rPr>
          <w:b/>
        </w:rPr>
      </w:pPr>
      <w:r w:rsidRPr="00B14360">
        <w:rPr>
          <w:b/>
        </w:rPr>
        <w:t>Switching may be allocated using the following methods:</w:t>
      </w:r>
    </w:p>
    <w:p w14:paraId="71992101" w14:textId="77777777" w:rsidR="00E00445" w:rsidRDefault="00E00445" w:rsidP="00657E5D">
      <w:pPr>
        <w:pStyle w:val="BodyTextIndent"/>
        <w:numPr>
          <w:ilvl w:val="0"/>
          <w:numId w:val="4"/>
        </w:numPr>
        <w:jc w:val="both"/>
      </w:pPr>
      <w:r>
        <w:t>Calculate the percent of Minutes of Use (MOU) for the lines in the supported area versus all minutes.</w:t>
      </w:r>
    </w:p>
    <w:p w14:paraId="1A94109D" w14:textId="77777777" w:rsidR="00E00445" w:rsidRDefault="00E00445" w:rsidP="00657E5D">
      <w:pPr>
        <w:pStyle w:val="BodyTextIndent"/>
        <w:numPr>
          <w:ilvl w:val="0"/>
          <w:numId w:val="4"/>
        </w:numPr>
        <w:jc w:val="both"/>
      </w:pPr>
      <w:r>
        <w:t xml:space="preserve">Calculate the percent of lines in the supported area versus all lines served by the switch.  </w:t>
      </w:r>
    </w:p>
    <w:p w14:paraId="3D4E0438" w14:textId="77777777" w:rsidR="00E00445" w:rsidRDefault="00E00445" w:rsidP="00657E5D">
      <w:pPr>
        <w:pStyle w:val="BodyTextIndent"/>
        <w:numPr>
          <w:ilvl w:val="0"/>
          <w:numId w:val="4"/>
        </w:numPr>
        <w:jc w:val="both"/>
      </w:pPr>
      <w:r>
        <w:t xml:space="preserve">Similar allocations could apply to circuit equipment used for switched access.  </w:t>
      </w:r>
    </w:p>
    <w:p w14:paraId="7504A01F" w14:textId="77777777" w:rsidR="00E00445" w:rsidRDefault="00E00445" w:rsidP="00657E5D">
      <w:pPr>
        <w:pStyle w:val="BodyTextIndent"/>
        <w:ind w:left="720"/>
        <w:jc w:val="both"/>
      </w:pPr>
    </w:p>
    <w:p w14:paraId="4D7FC5EA" w14:textId="77777777" w:rsidR="00E00445" w:rsidRPr="00B14360" w:rsidRDefault="00E00445" w:rsidP="00657E5D">
      <w:pPr>
        <w:pStyle w:val="BodyTextIndent"/>
        <w:ind w:left="720"/>
        <w:jc w:val="both"/>
        <w:rPr>
          <w:b/>
        </w:rPr>
      </w:pPr>
      <w:r w:rsidRPr="00B14360">
        <w:rPr>
          <w:b/>
        </w:rPr>
        <w:t>General rules to follow when deciding on the allocation method:</w:t>
      </w:r>
    </w:p>
    <w:p w14:paraId="39D87734" w14:textId="77777777" w:rsidR="00E00445" w:rsidRDefault="00E00445" w:rsidP="00657E5D">
      <w:pPr>
        <w:pStyle w:val="BodyTextIndent"/>
        <w:numPr>
          <w:ilvl w:val="0"/>
          <w:numId w:val="2"/>
        </w:numPr>
        <w:jc w:val="both"/>
      </w:pPr>
      <w:r>
        <w:t xml:space="preserve">Allocations may be calculated by individual investment location, by region or for the whole state.  </w:t>
      </w:r>
    </w:p>
    <w:p w14:paraId="4061CD86" w14:textId="77777777" w:rsidR="00E00445" w:rsidRDefault="00E00445" w:rsidP="00657E5D">
      <w:pPr>
        <w:pStyle w:val="BodyTextIndent"/>
        <w:numPr>
          <w:ilvl w:val="0"/>
          <w:numId w:val="2"/>
        </w:numPr>
        <w:jc w:val="both"/>
      </w:pPr>
      <w:r>
        <w:t xml:space="preserve">Companies may decide which methods work best based on the accounting and network information they have available.  </w:t>
      </w:r>
    </w:p>
    <w:p w14:paraId="03165A09" w14:textId="77777777" w:rsidR="00E00445" w:rsidRDefault="00E00445" w:rsidP="00657E5D">
      <w:pPr>
        <w:pStyle w:val="BodyTextIndent"/>
        <w:numPr>
          <w:ilvl w:val="0"/>
          <w:numId w:val="2"/>
        </w:numPr>
        <w:jc w:val="both"/>
      </w:pPr>
      <w:r>
        <w:t>Methods can vary for different types of investment or expense.</w:t>
      </w:r>
    </w:p>
    <w:p w14:paraId="0B88C245" w14:textId="77777777" w:rsidR="00E00445" w:rsidRDefault="00E00445" w:rsidP="00657E5D">
      <w:pPr>
        <w:pStyle w:val="BodyTextIndent"/>
        <w:numPr>
          <w:ilvl w:val="0"/>
          <w:numId w:val="2"/>
        </w:numPr>
        <w:jc w:val="both"/>
      </w:pPr>
      <w:r>
        <w:t>The method is one that is appropriate for the item being allocated (i.e. MOU would be appropriate for a switch allocation but not for a loop).</w:t>
      </w:r>
    </w:p>
    <w:p w14:paraId="189190FC" w14:textId="77777777" w:rsidR="00E00445" w:rsidRDefault="00E00445" w:rsidP="00657E5D">
      <w:pPr>
        <w:pStyle w:val="BodyTextIndent"/>
        <w:numPr>
          <w:ilvl w:val="0"/>
          <w:numId w:val="2"/>
        </w:numPr>
        <w:jc w:val="both"/>
      </w:pPr>
      <w:r>
        <w:t>The allocation is based on measurable data.</w:t>
      </w:r>
    </w:p>
    <w:p w14:paraId="2373DBB2" w14:textId="77777777" w:rsidR="00E00445" w:rsidRDefault="00E00445" w:rsidP="00657E5D">
      <w:pPr>
        <w:pStyle w:val="BodyTextIndent"/>
        <w:numPr>
          <w:ilvl w:val="0"/>
          <w:numId w:val="2"/>
        </w:numPr>
        <w:jc w:val="both"/>
      </w:pPr>
      <w:r>
        <w:t>The method captures a reasonable cost of the investment and/or expense.</w:t>
      </w:r>
    </w:p>
    <w:p w14:paraId="2EC0032F" w14:textId="77777777" w:rsidR="00E00445" w:rsidRDefault="00E00445" w:rsidP="00657E5D">
      <w:pPr>
        <w:pStyle w:val="BodyTextIndent"/>
        <w:numPr>
          <w:ilvl w:val="0"/>
          <w:numId w:val="2"/>
        </w:numPr>
        <w:jc w:val="both"/>
      </w:pPr>
      <w:r>
        <w:t xml:space="preserve">The company should maintain consistency in the allocation methods used from year to year when providing data to the Commission.  This will avoid gaming the system and provide the ability to make comparisons from year to year.  </w:t>
      </w:r>
    </w:p>
    <w:p w14:paraId="1746F728" w14:textId="77777777" w:rsidR="00E00445" w:rsidRDefault="00E00445" w:rsidP="00657E5D">
      <w:pPr>
        <w:pStyle w:val="BodyTextIndent"/>
        <w:numPr>
          <w:ilvl w:val="0"/>
          <w:numId w:val="2"/>
        </w:numPr>
        <w:jc w:val="both"/>
      </w:pPr>
      <w:r>
        <w:t>When a company changes an allocation method, it should be noted in the data submission, complete with rationale explaining why this new method is more appropriate.  Also</w:t>
      </w:r>
      <w:r w:rsidR="00762B25">
        <w:t>,</w:t>
      </w:r>
      <w:r>
        <w:t xml:space="preserve"> the company should provide a calculation of what effect the new allocation would have on the prior year’s report.  </w:t>
      </w:r>
    </w:p>
    <w:p w14:paraId="188489E5" w14:textId="77777777" w:rsidR="00327FDD" w:rsidRDefault="00327FDD" w:rsidP="00657E5D">
      <w:pPr>
        <w:pStyle w:val="BodyTextIndent"/>
        <w:ind w:left="1080"/>
        <w:jc w:val="both"/>
      </w:pPr>
    </w:p>
    <w:p w14:paraId="2FAAD58B" w14:textId="77777777" w:rsidR="00327FDD" w:rsidRDefault="00264795" w:rsidP="00657E5D">
      <w:pPr>
        <w:pStyle w:val="BodyTextIndent3"/>
        <w:ind w:left="360" w:hanging="360"/>
        <w:jc w:val="both"/>
        <w:rPr>
          <w:b/>
          <w:bCs/>
        </w:rPr>
      </w:pPr>
      <w:r>
        <w:rPr>
          <w:b/>
          <w:bCs/>
        </w:rPr>
        <w:t>4</w:t>
      </w:r>
      <w:r w:rsidR="00327FDD">
        <w:rPr>
          <w:b/>
          <w:bCs/>
        </w:rPr>
        <w:t xml:space="preserve">.  </w:t>
      </w:r>
      <w:r w:rsidR="00E73CBF">
        <w:rPr>
          <w:b/>
          <w:bCs/>
        </w:rPr>
        <w:tab/>
      </w:r>
      <w:r w:rsidR="00327FDD">
        <w:rPr>
          <w:b/>
          <w:bCs/>
        </w:rPr>
        <w:t xml:space="preserve">Attachment 4 - New Investments Utilizing </w:t>
      </w:r>
      <w:r w:rsidR="005E52E4">
        <w:rPr>
          <w:b/>
          <w:bCs/>
        </w:rPr>
        <w:t>High-Cost</w:t>
      </w:r>
      <w:r w:rsidR="00327FDD">
        <w:rPr>
          <w:b/>
          <w:bCs/>
        </w:rPr>
        <w:t xml:space="preserve"> Support in Supported Areas</w:t>
      </w:r>
    </w:p>
    <w:p w14:paraId="47CF124B" w14:textId="77777777" w:rsidR="00DB1C6B" w:rsidRPr="0039137E" w:rsidRDefault="00DB1C6B" w:rsidP="00422535">
      <w:pPr>
        <w:pStyle w:val="BodyTextIndent3"/>
        <w:spacing w:before="240" w:after="120"/>
        <w:ind w:left="720" w:firstLine="0"/>
        <w:jc w:val="both"/>
        <w:rPr>
          <w:b/>
          <w:u w:val="single"/>
        </w:rPr>
      </w:pPr>
      <w:r w:rsidRPr="0039137E">
        <w:rPr>
          <w:b/>
          <w:bCs/>
          <w:u w:val="single"/>
        </w:rPr>
        <w:t xml:space="preserve">a. </w:t>
      </w:r>
      <w:r w:rsidR="00327FDD" w:rsidRPr="0039137E">
        <w:rPr>
          <w:b/>
          <w:bCs/>
          <w:u w:val="single"/>
        </w:rPr>
        <w:t>Report Format</w:t>
      </w:r>
      <w:r w:rsidRPr="0039137E">
        <w:rPr>
          <w:b/>
          <w:u w:val="single"/>
        </w:rPr>
        <w:t xml:space="preserve"> </w:t>
      </w:r>
    </w:p>
    <w:p w14:paraId="6DFDB2CE" w14:textId="77777777" w:rsidR="00327FDD" w:rsidRDefault="00327FDD" w:rsidP="00657E5D">
      <w:pPr>
        <w:pStyle w:val="BodyTextIndent3"/>
        <w:ind w:left="720" w:firstLine="0"/>
        <w:jc w:val="both"/>
      </w:pPr>
      <w:r>
        <w:t xml:space="preserve">For the prior </w:t>
      </w:r>
      <w:r w:rsidR="00762B25">
        <w:t xml:space="preserve">calendar </w:t>
      </w:r>
      <w:r>
        <w:t xml:space="preserve">year, provide a description of the new investments in supported areas where the </w:t>
      </w:r>
      <w:r w:rsidR="005E52E4">
        <w:t>high-cost</w:t>
      </w:r>
      <w:r>
        <w:t xml:space="preserve"> support was used.  Please use a format similar to the </w:t>
      </w:r>
      <w:r w:rsidRPr="00EC480B">
        <w:rPr>
          <w:i/>
        </w:rPr>
        <w:t>Narrative for New Investment Report</w:t>
      </w:r>
      <w:r>
        <w:t>.  The first</w:t>
      </w:r>
      <w:r>
        <w:rPr>
          <w:rFonts w:ascii="Arial" w:hAnsi="Arial" w:cs="Arial"/>
          <w:szCs w:val="28"/>
        </w:rPr>
        <w:t xml:space="preserve"> </w:t>
      </w:r>
      <w:r>
        <w:rPr>
          <w:szCs w:val="28"/>
        </w:rPr>
        <w:t xml:space="preserve">example is for a wireless </w:t>
      </w:r>
      <w:smartTag w:uri="urn:schemas-microsoft-com:office:smarttags" w:element="stockticker">
        <w:r>
          <w:rPr>
            <w:szCs w:val="28"/>
          </w:rPr>
          <w:t>ETC</w:t>
        </w:r>
      </w:smartTag>
      <w:r>
        <w:rPr>
          <w:szCs w:val="28"/>
        </w:rPr>
        <w:t xml:space="preserve"> and </w:t>
      </w:r>
      <w:r w:rsidR="00EC480B">
        <w:rPr>
          <w:szCs w:val="28"/>
        </w:rPr>
        <w:t xml:space="preserve">the </w:t>
      </w:r>
      <w:r>
        <w:rPr>
          <w:szCs w:val="28"/>
        </w:rPr>
        <w:t xml:space="preserve">second example is for a wireline </w:t>
      </w:r>
      <w:smartTag w:uri="urn:schemas-microsoft-com:office:smarttags" w:element="stockticker">
        <w:r>
          <w:rPr>
            <w:szCs w:val="28"/>
          </w:rPr>
          <w:t>ETC</w:t>
        </w:r>
      </w:smartTag>
      <w:r>
        <w:rPr>
          <w:szCs w:val="28"/>
        </w:rPr>
        <w:t xml:space="preserve">. </w:t>
      </w:r>
      <w:r>
        <w:t xml:space="preserve"> It is acceptable to submit a mechanized report if it contains the essential information.  Any projects over the threshold should be listed separately.  Those projects less than the threshold should be combined into one or more line items.  See </w:t>
      </w:r>
      <w:r w:rsidR="000E722D">
        <w:t>3</w:t>
      </w:r>
      <w:r>
        <w:t xml:space="preserve">b below for the threshold.  </w:t>
      </w:r>
    </w:p>
    <w:p w14:paraId="38C16C0B" w14:textId="77777777" w:rsidR="00327FDD" w:rsidRDefault="00124623" w:rsidP="006106A9">
      <w:pPr>
        <w:rPr>
          <w:rFonts w:ascii="Arial" w:hAnsi="Arial" w:cs="Arial"/>
          <w:b/>
          <w:bCs/>
          <w:sz w:val="28"/>
          <w:szCs w:val="28"/>
        </w:rPr>
      </w:pPr>
      <w:r>
        <w:rPr>
          <w:rFonts w:ascii="Arial" w:hAnsi="Arial" w:cs="Arial"/>
          <w:b/>
          <w:bCs/>
          <w:sz w:val="28"/>
          <w:szCs w:val="28"/>
        </w:rPr>
        <w:br w:type="page"/>
      </w:r>
      <w:r w:rsidR="00327FDD">
        <w:rPr>
          <w:rFonts w:ascii="Arial" w:hAnsi="Arial" w:cs="Arial"/>
          <w:b/>
          <w:bCs/>
          <w:sz w:val="28"/>
          <w:szCs w:val="28"/>
        </w:rPr>
        <w:lastRenderedPageBreak/>
        <w:t>EXAMPLE of Narrative for New Investment Report</w:t>
      </w:r>
    </w:p>
    <w:p w14:paraId="6F5AA85A" w14:textId="77777777" w:rsidR="00B14360" w:rsidRDefault="00B14360" w:rsidP="00657E5D">
      <w:pPr>
        <w:jc w:val="both"/>
      </w:pPr>
    </w:p>
    <w:tbl>
      <w:tblPr>
        <w:tblW w:w="10306" w:type="dxa"/>
        <w:tblLayout w:type="fixed"/>
        <w:tblCellMar>
          <w:left w:w="0" w:type="dxa"/>
          <w:right w:w="0" w:type="dxa"/>
        </w:tblCellMar>
        <w:tblLook w:val="0000" w:firstRow="0" w:lastRow="0" w:firstColumn="0" w:lastColumn="0" w:noHBand="0" w:noVBand="0"/>
      </w:tblPr>
      <w:tblGrid>
        <w:gridCol w:w="1460"/>
        <w:gridCol w:w="895"/>
        <w:gridCol w:w="180"/>
        <w:gridCol w:w="2858"/>
        <w:gridCol w:w="1282"/>
        <w:gridCol w:w="1080"/>
        <w:gridCol w:w="1080"/>
        <w:gridCol w:w="1471"/>
      </w:tblGrid>
      <w:tr w:rsidR="00327FDD" w14:paraId="6EA9C6B8" w14:textId="77777777">
        <w:trPr>
          <w:trHeight w:val="315"/>
        </w:trPr>
        <w:tc>
          <w:tcPr>
            <w:tcW w:w="5393" w:type="dxa"/>
            <w:gridSpan w:val="4"/>
            <w:tcBorders>
              <w:top w:val="nil"/>
              <w:left w:val="nil"/>
              <w:bottom w:val="nil"/>
              <w:right w:val="nil"/>
            </w:tcBorders>
            <w:noWrap/>
            <w:tcMar>
              <w:top w:w="15" w:type="dxa"/>
              <w:left w:w="15" w:type="dxa"/>
              <w:bottom w:w="0" w:type="dxa"/>
              <w:right w:w="15" w:type="dxa"/>
            </w:tcMar>
          </w:tcPr>
          <w:p w14:paraId="03F9740B" w14:textId="77777777" w:rsidR="00327FDD" w:rsidRDefault="00327FDD" w:rsidP="00657E5D">
            <w:pPr>
              <w:jc w:val="both"/>
              <w:rPr>
                <w:rFonts w:ascii="Arial" w:hAnsi="Arial" w:cs="Arial"/>
                <w:b/>
                <w:bCs/>
                <w:sz w:val="22"/>
                <w:szCs w:val="22"/>
              </w:rPr>
            </w:pPr>
            <w:r>
              <w:rPr>
                <w:rFonts w:ascii="Arial" w:hAnsi="Arial" w:cs="Arial"/>
                <w:b/>
                <w:bCs/>
                <w:sz w:val="22"/>
                <w:szCs w:val="22"/>
              </w:rPr>
              <w:t xml:space="preserve">EXAMPLE of a WIRELESS COMPANY </w:t>
            </w:r>
          </w:p>
        </w:tc>
        <w:tc>
          <w:tcPr>
            <w:tcW w:w="1282" w:type="dxa"/>
            <w:tcBorders>
              <w:top w:val="nil"/>
              <w:left w:val="nil"/>
              <w:bottom w:val="nil"/>
              <w:right w:val="nil"/>
            </w:tcBorders>
            <w:tcMar>
              <w:top w:w="15" w:type="dxa"/>
              <w:left w:w="15" w:type="dxa"/>
              <w:bottom w:w="0" w:type="dxa"/>
              <w:right w:w="15" w:type="dxa"/>
            </w:tcMar>
          </w:tcPr>
          <w:p w14:paraId="13E57A7A" w14:textId="77777777" w:rsidR="00327FDD" w:rsidRDefault="00327FDD"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659861CD" w14:textId="77777777" w:rsidR="00327FDD" w:rsidRDefault="00327FDD"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21ECDA41" w14:textId="77777777" w:rsidR="00327FDD" w:rsidRDefault="00327FDD" w:rsidP="00657E5D">
            <w:pPr>
              <w:jc w:val="both"/>
              <w:rPr>
                <w:rFonts w:ascii="Arial" w:hAnsi="Arial" w:cs="Arial"/>
                <w:sz w:val="20"/>
                <w:szCs w:val="20"/>
              </w:rPr>
            </w:pPr>
          </w:p>
        </w:tc>
        <w:tc>
          <w:tcPr>
            <w:tcW w:w="1471" w:type="dxa"/>
            <w:tcBorders>
              <w:top w:val="nil"/>
              <w:left w:val="nil"/>
              <w:bottom w:val="nil"/>
              <w:right w:val="nil"/>
            </w:tcBorders>
            <w:tcMar>
              <w:top w:w="15" w:type="dxa"/>
              <w:left w:w="15" w:type="dxa"/>
              <w:bottom w:w="0" w:type="dxa"/>
              <w:right w:w="15" w:type="dxa"/>
            </w:tcMar>
            <w:vAlign w:val="bottom"/>
          </w:tcPr>
          <w:p w14:paraId="167DAEDB" w14:textId="77777777" w:rsidR="00327FDD" w:rsidRDefault="00327FDD" w:rsidP="00657E5D">
            <w:pPr>
              <w:jc w:val="both"/>
              <w:rPr>
                <w:rFonts w:ascii="Arial" w:hAnsi="Arial" w:cs="Arial"/>
                <w:sz w:val="20"/>
                <w:szCs w:val="20"/>
              </w:rPr>
            </w:pPr>
          </w:p>
        </w:tc>
      </w:tr>
      <w:tr w:rsidR="00327FDD" w14:paraId="170C1D25" w14:textId="77777777">
        <w:trPr>
          <w:trHeight w:val="780"/>
        </w:trPr>
        <w:tc>
          <w:tcPr>
            <w:tcW w:w="2355" w:type="dxa"/>
            <w:gridSpan w:val="2"/>
            <w:tcBorders>
              <w:top w:val="single" w:sz="8" w:space="0" w:color="auto"/>
              <w:left w:val="single" w:sz="8" w:space="0" w:color="auto"/>
              <w:bottom w:val="single" w:sz="8" w:space="0" w:color="auto"/>
              <w:right w:val="nil"/>
            </w:tcBorders>
            <w:tcMar>
              <w:top w:w="15" w:type="dxa"/>
              <w:left w:w="15" w:type="dxa"/>
              <w:bottom w:w="0" w:type="dxa"/>
              <w:right w:w="15" w:type="dxa"/>
            </w:tcMar>
          </w:tcPr>
          <w:p w14:paraId="023985C5" w14:textId="77777777" w:rsidR="00327FDD" w:rsidRDefault="00327FDD" w:rsidP="00657E5D">
            <w:pPr>
              <w:jc w:val="both"/>
              <w:rPr>
                <w:rFonts w:ascii="Arial" w:hAnsi="Arial" w:cs="Arial"/>
                <w:b/>
                <w:bCs/>
                <w:sz w:val="20"/>
                <w:szCs w:val="20"/>
              </w:rPr>
            </w:pPr>
          </w:p>
          <w:p w14:paraId="73CD9308" w14:textId="77777777" w:rsidR="00327FDD" w:rsidRDefault="00327FDD" w:rsidP="00657E5D">
            <w:pPr>
              <w:jc w:val="both"/>
              <w:rPr>
                <w:rFonts w:ascii="Arial" w:hAnsi="Arial" w:cs="Arial"/>
                <w:b/>
                <w:bCs/>
                <w:sz w:val="20"/>
                <w:szCs w:val="20"/>
              </w:rPr>
            </w:pPr>
          </w:p>
          <w:p w14:paraId="308E8A27" w14:textId="77777777" w:rsidR="00327FDD" w:rsidRDefault="00327FDD" w:rsidP="00657E5D">
            <w:pPr>
              <w:jc w:val="both"/>
              <w:rPr>
                <w:rFonts w:ascii="Arial" w:hAnsi="Arial" w:cs="Arial"/>
                <w:b/>
                <w:bCs/>
                <w:sz w:val="20"/>
                <w:szCs w:val="20"/>
              </w:rPr>
            </w:pPr>
          </w:p>
          <w:p w14:paraId="6756C877" w14:textId="77777777" w:rsidR="00327FDD" w:rsidRDefault="00327FDD" w:rsidP="00657E5D">
            <w:pPr>
              <w:jc w:val="both"/>
              <w:rPr>
                <w:rFonts w:ascii="Arial" w:hAnsi="Arial" w:cs="Arial"/>
                <w:b/>
                <w:bCs/>
                <w:sz w:val="20"/>
                <w:szCs w:val="20"/>
              </w:rPr>
            </w:pPr>
            <w:r>
              <w:rPr>
                <w:rFonts w:ascii="Arial" w:hAnsi="Arial" w:cs="Arial"/>
                <w:b/>
                <w:bCs/>
                <w:sz w:val="20"/>
                <w:szCs w:val="20"/>
              </w:rPr>
              <w:t>Town or Exchange</w:t>
            </w:r>
          </w:p>
        </w:tc>
        <w:tc>
          <w:tcPr>
            <w:tcW w:w="3038" w:type="dxa"/>
            <w:gridSpan w:val="2"/>
            <w:tcBorders>
              <w:top w:val="single" w:sz="8" w:space="0" w:color="auto"/>
              <w:left w:val="nil"/>
              <w:bottom w:val="single" w:sz="8" w:space="0" w:color="auto"/>
              <w:right w:val="nil"/>
            </w:tcBorders>
            <w:noWrap/>
            <w:tcMar>
              <w:top w:w="15" w:type="dxa"/>
              <w:left w:w="15" w:type="dxa"/>
              <w:bottom w:w="0" w:type="dxa"/>
              <w:right w:w="15" w:type="dxa"/>
            </w:tcMar>
          </w:tcPr>
          <w:p w14:paraId="07557652" w14:textId="77777777" w:rsidR="00327FDD" w:rsidRDefault="00327FDD" w:rsidP="00657E5D">
            <w:pPr>
              <w:jc w:val="both"/>
              <w:rPr>
                <w:rFonts w:ascii="Arial" w:hAnsi="Arial" w:cs="Arial"/>
                <w:b/>
                <w:bCs/>
                <w:sz w:val="20"/>
                <w:szCs w:val="20"/>
              </w:rPr>
            </w:pPr>
          </w:p>
          <w:p w14:paraId="74A8C947" w14:textId="77777777" w:rsidR="00327FDD" w:rsidRDefault="00327FDD" w:rsidP="00657E5D">
            <w:pPr>
              <w:jc w:val="both"/>
              <w:rPr>
                <w:rFonts w:ascii="Arial" w:hAnsi="Arial" w:cs="Arial"/>
                <w:b/>
                <w:bCs/>
                <w:sz w:val="20"/>
                <w:szCs w:val="20"/>
              </w:rPr>
            </w:pPr>
          </w:p>
          <w:p w14:paraId="0A3EB06B" w14:textId="77777777" w:rsidR="00327FDD" w:rsidRDefault="00327FDD" w:rsidP="00657E5D">
            <w:pPr>
              <w:jc w:val="both"/>
              <w:rPr>
                <w:rFonts w:ascii="Arial" w:hAnsi="Arial" w:cs="Arial"/>
                <w:b/>
                <w:bCs/>
                <w:sz w:val="20"/>
                <w:szCs w:val="20"/>
              </w:rPr>
            </w:pPr>
          </w:p>
          <w:p w14:paraId="2202A3A8" w14:textId="77777777" w:rsidR="00327FDD" w:rsidRDefault="00327FDD" w:rsidP="00657E5D">
            <w:pPr>
              <w:jc w:val="both"/>
              <w:rPr>
                <w:rFonts w:ascii="Arial" w:hAnsi="Arial" w:cs="Arial"/>
                <w:b/>
                <w:bCs/>
                <w:sz w:val="20"/>
                <w:szCs w:val="20"/>
              </w:rPr>
            </w:pPr>
          </w:p>
          <w:p w14:paraId="5A4D3301" w14:textId="77777777" w:rsidR="00327FDD" w:rsidRDefault="00327FDD" w:rsidP="00657E5D">
            <w:pPr>
              <w:jc w:val="both"/>
              <w:rPr>
                <w:rFonts w:ascii="Arial" w:hAnsi="Arial" w:cs="Arial"/>
                <w:b/>
                <w:bCs/>
                <w:sz w:val="20"/>
                <w:szCs w:val="20"/>
              </w:rPr>
            </w:pPr>
            <w:r>
              <w:rPr>
                <w:rFonts w:ascii="Arial" w:hAnsi="Arial" w:cs="Arial"/>
                <w:b/>
                <w:bCs/>
                <w:sz w:val="20"/>
                <w:szCs w:val="20"/>
              </w:rPr>
              <w:t>Description of Improvement</w:t>
            </w:r>
          </w:p>
        </w:tc>
        <w:tc>
          <w:tcPr>
            <w:tcW w:w="1282" w:type="dxa"/>
            <w:tcBorders>
              <w:top w:val="single" w:sz="8" w:space="0" w:color="auto"/>
              <w:left w:val="nil"/>
              <w:bottom w:val="single" w:sz="8" w:space="0" w:color="auto"/>
              <w:right w:val="nil"/>
            </w:tcBorders>
            <w:tcMar>
              <w:top w:w="15" w:type="dxa"/>
              <w:left w:w="15" w:type="dxa"/>
              <w:bottom w:w="0" w:type="dxa"/>
              <w:right w:w="15" w:type="dxa"/>
            </w:tcMar>
          </w:tcPr>
          <w:p w14:paraId="5EAA986F" w14:textId="77777777" w:rsidR="00327FDD" w:rsidRDefault="00327FDD" w:rsidP="00657E5D">
            <w:pPr>
              <w:jc w:val="both"/>
              <w:rPr>
                <w:rFonts w:ascii="Arial" w:hAnsi="Arial" w:cs="Arial"/>
                <w:b/>
                <w:bCs/>
                <w:sz w:val="20"/>
                <w:szCs w:val="20"/>
              </w:rPr>
            </w:pPr>
          </w:p>
          <w:p w14:paraId="51A6C9D1" w14:textId="77777777" w:rsidR="00327FDD" w:rsidRDefault="00327FDD" w:rsidP="00657E5D">
            <w:pPr>
              <w:jc w:val="both"/>
              <w:rPr>
                <w:rFonts w:ascii="Arial" w:hAnsi="Arial" w:cs="Arial"/>
                <w:b/>
                <w:bCs/>
                <w:sz w:val="20"/>
                <w:szCs w:val="20"/>
              </w:rPr>
            </w:pPr>
          </w:p>
          <w:p w14:paraId="06993B8F" w14:textId="77777777" w:rsidR="00327FDD" w:rsidRDefault="00327FDD" w:rsidP="00657E5D">
            <w:pPr>
              <w:jc w:val="both"/>
              <w:rPr>
                <w:rFonts w:ascii="Arial" w:hAnsi="Arial" w:cs="Arial"/>
                <w:b/>
                <w:bCs/>
                <w:sz w:val="20"/>
                <w:szCs w:val="20"/>
              </w:rPr>
            </w:pPr>
          </w:p>
          <w:p w14:paraId="3F8E8E41" w14:textId="77777777" w:rsidR="00327FDD" w:rsidRDefault="00327FDD" w:rsidP="00657E5D">
            <w:pPr>
              <w:jc w:val="both"/>
              <w:rPr>
                <w:rFonts w:ascii="Arial" w:hAnsi="Arial" w:cs="Arial"/>
                <w:b/>
                <w:bCs/>
                <w:sz w:val="20"/>
                <w:szCs w:val="20"/>
              </w:rPr>
            </w:pPr>
            <w:r>
              <w:rPr>
                <w:rFonts w:ascii="Arial" w:hAnsi="Arial" w:cs="Arial"/>
                <w:b/>
                <w:bCs/>
                <w:sz w:val="20"/>
                <w:szCs w:val="20"/>
              </w:rPr>
              <w:t>Cash Investment</w:t>
            </w:r>
          </w:p>
        </w:tc>
        <w:tc>
          <w:tcPr>
            <w:tcW w:w="1080" w:type="dxa"/>
            <w:tcBorders>
              <w:top w:val="single" w:sz="8" w:space="0" w:color="auto"/>
              <w:left w:val="nil"/>
              <w:bottom w:val="single" w:sz="8" w:space="0" w:color="auto"/>
              <w:right w:val="nil"/>
            </w:tcBorders>
            <w:noWrap/>
            <w:tcMar>
              <w:top w:w="15" w:type="dxa"/>
              <w:left w:w="15" w:type="dxa"/>
              <w:bottom w:w="0" w:type="dxa"/>
              <w:right w:w="15" w:type="dxa"/>
            </w:tcMar>
          </w:tcPr>
          <w:p w14:paraId="5AF41B05" w14:textId="77777777" w:rsidR="00327FDD" w:rsidRDefault="00327FDD" w:rsidP="00657E5D">
            <w:pPr>
              <w:jc w:val="both"/>
              <w:rPr>
                <w:rFonts w:ascii="Arial" w:hAnsi="Arial" w:cs="Arial"/>
                <w:b/>
                <w:bCs/>
                <w:sz w:val="20"/>
                <w:szCs w:val="20"/>
              </w:rPr>
            </w:pPr>
          </w:p>
          <w:p w14:paraId="61BD6CA0" w14:textId="77777777" w:rsidR="00327FDD" w:rsidRDefault="00327FDD" w:rsidP="00657E5D">
            <w:pPr>
              <w:jc w:val="both"/>
              <w:rPr>
                <w:rFonts w:ascii="Arial" w:hAnsi="Arial" w:cs="Arial"/>
                <w:b/>
                <w:bCs/>
                <w:sz w:val="20"/>
                <w:szCs w:val="20"/>
              </w:rPr>
            </w:pPr>
          </w:p>
          <w:p w14:paraId="3AFD1FD9" w14:textId="77777777" w:rsidR="00327FDD" w:rsidRDefault="00327FDD" w:rsidP="00657E5D">
            <w:pPr>
              <w:jc w:val="both"/>
              <w:rPr>
                <w:rFonts w:ascii="Arial" w:hAnsi="Arial" w:cs="Arial"/>
                <w:b/>
                <w:bCs/>
                <w:sz w:val="20"/>
                <w:szCs w:val="20"/>
              </w:rPr>
            </w:pPr>
          </w:p>
          <w:p w14:paraId="1BBBACFD" w14:textId="77777777" w:rsidR="00327FDD" w:rsidRDefault="00327FDD" w:rsidP="00657E5D">
            <w:pPr>
              <w:jc w:val="both"/>
              <w:rPr>
                <w:rFonts w:ascii="Arial" w:hAnsi="Arial" w:cs="Arial"/>
                <w:b/>
                <w:bCs/>
                <w:sz w:val="20"/>
                <w:szCs w:val="20"/>
              </w:rPr>
            </w:pPr>
            <w:r>
              <w:rPr>
                <w:rFonts w:ascii="Arial" w:hAnsi="Arial" w:cs="Arial"/>
                <w:b/>
                <w:bCs/>
                <w:sz w:val="20"/>
                <w:szCs w:val="20"/>
              </w:rPr>
              <w:t xml:space="preserve">Allocation  </w:t>
            </w:r>
          </w:p>
          <w:p w14:paraId="09E821A2" w14:textId="77777777" w:rsidR="00327FDD" w:rsidRDefault="00327FDD" w:rsidP="00657E5D">
            <w:pPr>
              <w:jc w:val="both"/>
              <w:rPr>
                <w:rFonts w:ascii="Arial" w:hAnsi="Arial" w:cs="Arial"/>
                <w:b/>
                <w:bCs/>
                <w:sz w:val="20"/>
                <w:szCs w:val="20"/>
              </w:rPr>
            </w:pPr>
            <w:r>
              <w:rPr>
                <w:rFonts w:ascii="Arial" w:hAnsi="Arial" w:cs="Arial"/>
                <w:b/>
                <w:bCs/>
                <w:sz w:val="20"/>
                <w:szCs w:val="20"/>
              </w:rPr>
              <w:t xml:space="preserve">        %</w:t>
            </w:r>
          </w:p>
        </w:tc>
        <w:tc>
          <w:tcPr>
            <w:tcW w:w="1080" w:type="dxa"/>
            <w:tcBorders>
              <w:top w:val="single" w:sz="8" w:space="0" w:color="auto"/>
              <w:left w:val="nil"/>
              <w:bottom w:val="single" w:sz="8" w:space="0" w:color="auto"/>
              <w:right w:val="nil"/>
            </w:tcBorders>
            <w:tcMar>
              <w:top w:w="15" w:type="dxa"/>
              <w:left w:w="15" w:type="dxa"/>
              <w:bottom w:w="0" w:type="dxa"/>
              <w:right w:w="15" w:type="dxa"/>
            </w:tcMar>
          </w:tcPr>
          <w:p w14:paraId="295EEE6A" w14:textId="77777777" w:rsidR="00327FDD" w:rsidRDefault="00327FDD" w:rsidP="00657E5D">
            <w:pPr>
              <w:jc w:val="both"/>
              <w:rPr>
                <w:rFonts w:ascii="Arial" w:hAnsi="Arial" w:cs="Arial"/>
                <w:b/>
                <w:bCs/>
                <w:sz w:val="20"/>
                <w:szCs w:val="20"/>
              </w:rPr>
            </w:pPr>
          </w:p>
          <w:p w14:paraId="39ED1294" w14:textId="77777777" w:rsidR="00327FDD" w:rsidRDefault="00327FDD" w:rsidP="00657E5D">
            <w:pPr>
              <w:jc w:val="both"/>
              <w:rPr>
                <w:rFonts w:ascii="Arial" w:hAnsi="Arial" w:cs="Arial"/>
                <w:b/>
                <w:bCs/>
                <w:sz w:val="20"/>
                <w:szCs w:val="20"/>
              </w:rPr>
            </w:pPr>
          </w:p>
          <w:p w14:paraId="56EE88D6" w14:textId="77777777" w:rsidR="00327FDD" w:rsidRDefault="00327FDD" w:rsidP="00657E5D">
            <w:pPr>
              <w:jc w:val="both"/>
              <w:rPr>
                <w:rFonts w:ascii="Arial" w:hAnsi="Arial" w:cs="Arial"/>
                <w:b/>
                <w:bCs/>
                <w:sz w:val="20"/>
                <w:szCs w:val="20"/>
              </w:rPr>
            </w:pPr>
          </w:p>
          <w:p w14:paraId="1804681D" w14:textId="77777777" w:rsidR="00327FDD" w:rsidRDefault="00327FDD" w:rsidP="00657E5D">
            <w:pPr>
              <w:jc w:val="both"/>
              <w:rPr>
                <w:rFonts w:ascii="Arial" w:hAnsi="Arial" w:cs="Arial"/>
                <w:b/>
                <w:bCs/>
                <w:sz w:val="20"/>
                <w:szCs w:val="20"/>
              </w:rPr>
            </w:pPr>
          </w:p>
          <w:p w14:paraId="7C1AE95D" w14:textId="77777777" w:rsidR="00327FDD" w:rsidRDefault="00327FDD" w:rsidP="00657E5D">
            <w:pPr>
              <w:jc w:val="both"/>
              <w:rPr>
                <w:rFonts w:ascii="Arial" w:hAnsi="Arial" w:cs="Arial"/>
                <w:b/>
                <w:bCs/>
                <w:sz w:val="20"/>
                <w:szCs w:val="20"/>
              </w:rPr>
            </w:pPr>
            <w:r>
              <w:rPr>
                <w:rFonts w:ascii="Arial" w:hAnsi="Arial" w:cs="Arial"/>
                <w:b/>
                <w:bCs/>
                <w:sz w:val="20"/>
                <w:szCs w:val="20"/>
              </w:rPr>
              <w:t>Notes</w:t>
            </w:r>
          </w:p>
        </w:tc>
        <w:tc>
          <w:tcPr>
            <w:tcW w:w="1471" w:type="dxa"/>
            <w:tcBorders>
              <w:top w:val="single" w:sz="8" w:space="0" w:color="auto"/>
              <w:left w:val="nil"/>
              <w:bottom w:val="single" w:sz="8" w:space="0" w:color="auto"/>
              <w:right w:val="single" w:sz="8" w:space="0" w:color="auto"/>
            </w:tcBorders>
            <w:tcMar>
              <w:top w:w="15" w:type="dxa"/>
              <w:left w:w="15" w:type="dxa"/>
              <w:bottom w:w="0" w:type="dxa"/>
              <w:right w:w="15" w:type="dxa"/>
            </w:tcMar>
          </w:tcPr>
          <w:p w14:paraId="2F7783E8" w14:textId="77777777" w:rsidR="00327FDD" w:rsidRDefault="00327FDD" w:rsidP="00657E5D">
            <w:pPr>
              <w:jc w:val="both"/>
              <w:rPr>
                <w:rFonts w:ascii="Arial" w:hAnsi="Arial" w:cs="Arial"/>
                <w:b/>
                <w:bCs/>
                <w:sz w:val="20"/>
                <w:szCs w:val="20"/>
              </w:rPr>
            </w:pPr>
            <w:r>
              <w:rPr>
                <w:rFonts w:ascii="Arial" w:hAnsi="Arial" w:cs="Arial"/>
                <w:b/>
                <w:bCs/>
                <w:sz w:val="20"/>
                <w:szCs w:val="20"/>
              </w:rPr>
              <w:t>Amount Used in the  USF Supported Areas</w:t>
            </w:r>
          </w:p>
        </w:tc>
      </w:tr>
      <w:tr w:rsidR="00327FDD" w14:paraId="23835C73" w14:textId="77777777">
        <w:trPr>
          <w:trHeight w:val="313"/>
        </w:trPr>
        <w:tc>
          <w:tcPr>
            <w:tcW w:w="2355"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tcPr>
          <w:p w14:paraId="46C6E151" w14:textId="77777777" w:rsidR="00327FDD" w:rsidRDefault="00327FDD" w:rsidP="00657E5D">
            <w:pPr>
              <w:jc w:val="both"/>
              <w:rPr>
                <w:rFonts w:ascii="Arial" w:hAnsi="Arial" w:cs="Arial"/>
                <w:sz w:val="20"/>
                <w:szCs w:val="20"/>
              </w:rPr>
            </w:pPr>
            <w:r>
              <w:rPr>
                <w:rFonts w:ascii="Arial" w:hAnsi="Arial" w:cs="Arial"/>
                <w:sz w:val="20"/>
                <w:szCs w:val="20"/>
              </w:rPr>
              <w:t>A</w:t>
            </w:r>
          </w:p>
        </w:tc>
        <w:tc>
          <w:tcPr>
            <w:tcW w:w="3038" w:type="dxa"/>
            <w:gridSpan w:val="2"/>
            <w:tcBorders>
              <w:top w:val="nil"/>
              <w:left w:val="nil"/>
              <w:bottom w:val="single" w:sz="4" w:space="0" w:color="auto"/>
              <w:right w:val="single" w:sz="4" w:space="0" w:color="auto"/>
            </w:tcBorders>
            <w:tcMar>
              <w:top w:w="15" w:type="dxa"/>
              <w:left w:w="15" w:type="dxa"/>
              <w:bottom w:w="0" w:type="dxa"/>
              <w:right w:w="15" w:type="dxa"/>
            </w:tcMar>
          </w:tcPr>
          <w:p w14:paraId="56BEC833" w14:textId="77777777" w:rsidR="00327FDD" w:rsidRDefault="00327FDD" w:rsidP="00657E5D">
            <w:pPr>
              <w:jc w:val="both"/>
              <w:rPr>
                <w:rFonts w:ascii="Arial" w:hAnsi="Arial" w:cs="Arial"/>
                <w:sz w:val="20"/>
                <w:szCs w:val="20"/>
              </w:rPr>
            </w:pPr>
            <w:r>
              <w:rPr>
                <w:rFonts w:ascii="Arial" w:hAnsi="Arial" w:cs="Arial"/>
                <w:sz w:val="20"/>
                <w:szCs w:val="20"/>
              </w:rPr>
              <w:t>B</w:t>
            </w:r>
          </w:p>
        </w:tc>
        <w:tc>
          <w:tcPr>
            <w:tcW w:w="1282" w:type="dxa"/>
            <w:tcBorders>
              <w:top w:val="nil"/>
              <w:left w:val="nil"/>
              <w:bottom w:val="single" w:sz="4" w:space="0" w:color="auto"/>
              <w:right w:val="single" w:sz="4" w:space="0" w:color="auto"/>
            </w:tcBorders>
            <w:tcMar>
              <w:top w:w="15" w:type="dxa"/>
              <w:left w:w="15" w:type="dxa"/>
              <w:bottom w:w="0" w:type="dxa"/>
              <w:right w:w="15" w:type="dxa"/>
            </w:tcMar>
          </w:tcPr>
          <w:p w14:paraId="70133C51" w14:textId="77777777" w:rsidR="00327FDD" w:rsidRDefault="00327FDD" w:rsidP="00657E5D">
            <w:pPr>
              <w:jc w:val="both"/>
              <w:rPr>
                <w:rFonts w:ascii="Arial" w:hAnsi="Arial" w:cs="Arial"/>
                <w:sz w:val="20"/>
                <w:szCs w:val="20"/>
              </w:rPr>
            </w:pPr>
            <w:r>
              <w:rPr>
                <w:rFonts w:ascii="Arial" w:hAnsi="Arial" w:cs="Arial"/>
                <w:sz w:val="20"/>
                <w:szCs w:val="20"/>
              </w:rPr>
              <w:t>C</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2CFDEFEE" w14:textId="77777777" w:rsidR="00327FDD" w:rsidRDefault="00327FDD" w:rsidP="00657E5D">
            <w:pPr>
              <w:jc w:val="both"/>
              <w:rPr>
                <w:rFonts w:ascii="Arial" w:hAnsi="Arial" w:cs="Arial"/>
                <w:sz w:val="20"/>
                <w:szCs w:val="20"/>
              </w:rPr>
            </w:pPr>
            <w:r>
              <w:rPr>
                <w:rFonts w:ascii="Arial" w:hAnsi="Arial" w:cs="Arial"/>
                <w:sz w:val="20"/>
                <w:szCs w:val="20"/>
              </w:rPr>
              <w:t>D</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24EA44B8" w14:textId="77777777" w:rsidR="00327FDD" w:rsidRDefault="00327FDD" w:rsidP="00657E5D">
            <w:pPr>
              <w:jc w:val="both"/>
              <w:rPr>
                <w:rFonts w:ascii="Arial" w:hAnsi="Arial" w:cs="Arial"/>
                <w:sz w:val="20"/>
                <w:szCs w:val="20"/>
              </w:rPr>
            </w:pPr>
            <w:r>
              <w:rPr>
                <w:rFonts w:ascii="Arial" w:hAnsi="Arial" w:cs="Arial"/>
                <w:sz w:val="20"/>
                <w:szCs w:val="20"/>
              </w:rPr>
              <w:t>E</w:t>
            </w:r>
          </w:p>
        </w:tc>
        <w:tc>
          <w:tcPr>
            <w:tcW w:w="1471" w:type="dxa"/>
            <w:tcBorders>
              <w:top w:val="nil"/>
              <w:left w:val="nil"/>
              <w:bottom w:val="single" w:sz="4" w:space="0" w:color="auto"/>
              <w:right w:val="single" w:sz="4" w:space="0" w:color="auto"/>
            </w:tcBorders>
            <w:tcMar>
              <w:top w:w="15" w:type="dxa"/>
              <w:left w:w="15" w:type="dxa"/>
              <w:bottom w:w="0" w:type="dxa"/>
              <w:right w:w="15" w:type="dxa"/>
            </w:tcMar>
          </w:tcPr>
          <w:p w14:paraId="4A5B16B8" w14:textId="77777777" w:rsidR="00327FDD" w:rsidRDefault="00327FDD" w:rsidP="00CA4C27">
            <w:pPr>
              <w:jc w:val="both"/>
              <w:rPr>
                <w:rFonts w:ascii="Arial" w:hAnsi="Arial" w:cs="Arial"/>
                <w:sz w:val="20"/>
                <w:szCs w:val="20"/>
              </w:rPr>
            </w:pPr>
            <w:r>
              <w:rPr>
                <w:rFonts w:ascii="Arial" w:hAnsi="Arial" w:cs="Arial"/>
                <w:sz w:val="20"/>
                <w:szCs w:val="20"/>
              </w:rPr>
              <w:t>F=C</w:t>
            </w:r>
            <w:r w:rsidR="00CA4C27">
              <w:rPr>
                <w:rFonts w:ascii="Arial" w:hAnsi="Arial" w:cs="Arial"/>
                <w:sz w:val="20"/>
                <w:szCs w:val="20"/>
              </w:rPr>
              <w:t xml:space="preserve"> </w:t>
            </w:r>
            <w:r>
              <w:rPr>
                <w:rFonts w:ascii="Arial" w:hAnsi="Arial" w:cs="Arial"/>
                <w:sz w:val="20"/>
                <w:szCs w:val="20"/>
              </w:rPr>
              <w:t>x</w:t>
            </w:r>
            <w:r w:rsidR="00CA4C27">
              <w:rPr>
                <w:rFonts w:ascii="Arial" w:hAnsi="Arial" w:cs="Arial"/>
                <w:sz w:val="20"/>
                <w:szCs w:val="20"/>
              </w:rPr>
              <w:t xml:space="preserve"> </w:t>
            </w:r>
            <w:r>
              <w:rPr>
                <w:rFonts w:ascii="Arial" w:hAnsi="Arial" w:cs="Arial"/>
                <w:sz w:val="20"/>
                <w:szCs w:val="20"/>
              </w:rPr>
              <w:t>D</w:t>
            </w:r>
          </w:p>
        </w:tc>
      </w:tr>
      <w:tr w:rsidR="00327FDD" w14:paraId="731D8664" w14:textId="77777777">
        <w:trPr>
          <w:trHeight w:val="765"/>
        </w:trPr>
        <w:tc>
          <w:tcPr>
            <w:tcW w:w="2355"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tcPr>
          <w:p w14:paraId="017E65D2" w14:textId="77777777" w:rsidR="00327FDD" w:rsidRDefault="00327FDD" w:rsidP="00657E5D">
            <w:pPr>
              <w:jc w:val="both"/>
              <w:rPr>
                <w:rFonts w:ascii="Arial" w:hAnsi="Arial" w:cs="Arial"/>
                <w:i/>
                <w:iCs/>
                <w:sz w:val="20"/>
                <w:szCs w:val="20"/>
              </w:rPr>
            </w:pPr>
            <w:r>
              <w:rPr>
                <w:rFonts w:ascii="Arial" w:hAnsi="Arial" w:cs="Arial"/>
                <w:i/>
                <w:iCs/>
                <w:sz w:val="20"/>
                <w:szCs w:val="20"/>
              </w:rPr>
              <w:t xml:space="preserve">20 miles West of Oakley serving USF areas: </w:t>
            </w:r>
            <w:smartTag w:uri="urn:schemas-microsoft-com:office:smarttags" w:element="place">
              <w:r>
                <w:rPr>
                  <w:rFonts w:ascii="Arial" w:hAnsi="Arial" w:cs="Arial"/>
                  <w:i/>
                  <w:iCs/>
                  <w:sz w:val="20"/>
                  <w:szCs w:val="20"/>
                </w:rPr>
                <w:t>Levant</w:t>
              </w:r>
            </w:smartTag>
            <w:r>
              <w:rPr>
                <w:rFonts w:ascii="Arial" w:hAnsi="Arial" w:cs="Arial"/>
                <w:i/>
                <w:iCs/>
                <w:sz w:val="20"/>
                <w:szCs w:val="20"/>
              </w:rPr>
              <w:t xml:space="preserve">, </w:t>
            </w:r>
            <w:smartTag w:uri="urn:schemas-microsoft-com:office:smarttags" w:element="City">
              <w:smartTag w:uri="urn:schemas-microsoft-com:office:smarttags" w:element="place">
                <w:r>
                  <w:rPr>
                    <w:rFonts w:ascii="Arial" w:hAnsi="Arial" w:cs="Arial"/>
                    <w:i/>
                    <w:iCs/>
                    <w:sz w:val="20"/>
                    <w:szCs w:val="20"/>
                  </w:rPr>
                  <w:t>Winona</w:t>
                </w:r>
              </w:smartTag>
            </w:smartTag>
            <w:r>
              <w:rPr>
                <w:rFonts w:ascii="Arial" w:hAnsi="Arial" w:cs="Arial"/>
                <w:i/>
                <w:iCs/>
                <w:sz w:val="20"/>
                <w:szCs w:val="20"/>
              </w:rPr>
              <w:t xml:space="preserve">, and </w:t>
            </w:r>
            <w:smartTag w:uri="urn:schemas-microsoft-com:office:smarttags" w:element="place">
              <w:smartTag w:uri="urn:schemas-microsoft-com:office:smarttags" w:element="PlaceName">
                <w:r>
                  <w:rPr>
                    <w:rFonts w:ascii="Arial" w:hAnsi="Arial" w:cs="Arial"/>
                    <w:i/>
                    <w:iCs/>
                    <w:sz w:val="20"/>
                    <w:szCs w:val="20"/>
                  </w:rPr>
                  <w:t>Russell</w:t>
                </w:r>
              </w:smartTag>
              <w:r>
                <w:rPr>
                  <w:rFonts w:ascii="Arial" w:hAnsi="Arial" w:cs="Arial"/>
                  <w:i/>
                  <w:iCs/>
                  <w:sz w:val="20"/>
                  <w:szCs w:val="20"/>
                </w:rPr>
                <w:t xml:space="preserve"> </w:t>
              </w:r>
              <w:smartTag w:uri="urn:schemas-microsoft-com:office:smarttags" w:element="PlaceName">
                <w:r>
                  <w:rPr>
                    <w:rFonts w:ascii="Arial" w:hAnsi="Arial" w:cs="Arial"/>
                    <w:i/>
                    <w:iCs/>
                    <w:sz w:val="20"/>
                    <w:szCs w:val="20"/>
                  </w:rPr>
                  <w:t>Spr</w:t>
                </w:r>
                <w:r w:rsidR="00175368">
                  <w:rPr>
                    <w:rFonts w:ascii="Arial" w:hAnsi="Arial" w:cs="Arial"/>
                    <w:i/>
                    <w:iCs/>
                    <w:sz w:val="20"/>
                    <w:szCs w:val="20"/>
                  </w:rPr>
                  <w:t>in</w:t>
                </w:r>
                <w:r>
                  <w:rPr>
                    <w:rFonts w:ascii="Arial" w:hAnsi="Arial" w:cs="Arial"/>
                    <w:i/>
                    <w:iCs/>
                    <w:sz w:val="20"/>
                    <w:szCs w:val="20"/>
                  </w:rPr>
                  <w:t>gs</w:t>
                </w:r>
              </w:smartTag>
            </w:smartTag>
            <w:r>
              <w:rPr>
                <w:rFonts w:ascii="Arial" w:hAnsi="Arial" w:cs="Arial"/>
                <w:i/>
                <w:iCs/>
                <w:sz w:val="20"/>
                <w:szCs w:val="20"/>
              </w:rPr>
              <w:t>.</w:t>
            </w:r>
          </w:p>
        </w:tc>
        <w:tc>
          <w:tcPr>
            <w:tcW w:w="3038" w:type="dxa"/>
            <w:gridSpan w:val="2"/>
            <w:tcBorders>
              <w:top w:val="nil"/>
              <w:left w:val="nil"/>
              <w:bottom w:val="single" w:sz="4" w:space="0" w:color="auto"/>
              <w:right w:val="single" w:sz="4" w:space="0" w:color="auto"/>
            </w:tcBorders>
            <w:tcMar>
              <w:top w:w="15" w:type="dxa"/>
              <w:left w:w="15" w:type="dxa"/>
              <w:bottom w:w="0" w:type="dxa"/>
              <w:right w:w="15" w:type="dxa"/>
            </w:tcMar>
          </w:tcPr>
          <w:p w14:paraId="6914EC0C" w14:textId="77777777" w:rsidR="00327FDD" w:rsidRDefault="00327FDD" w:rsidP="00657E5D">
            <w:pPr>
              <w:jc w:val="both"/>
              <w:rPr>
                <w:rFonts w:ascii="Arial" w:hAnsi="Arial" w:cs="Arial"/>
                <w:i/>
                <w:iCs/>
                <w:sz w:val="20"/>
                <w:szCs w:val="20"/>
              </w:rPr>
            </w:pPr>
            <w:r>
              <w:rPr>
                <w:rFonts w:ascii="Arial" w:hAnsi="Arial" w:cs="Arial"/>
                <w:i/>
                <w:iCs/>
                <w:sz w:val="20"/>
                <w:szCs w:val="20"/>
              </w:rPr>
              <w:t xml:space="preserve">New tower and fiber </w:t>
            </w:r>
            <w:proofErr w:type="spellStart"/>
            <w:r>
              <w:rPr>
                <w:rFonts w:ascii="Arial" w:hAnsi="Arial" w:cs="Arial"/>
                <w:i/>
                <w:iCs/>
                <w:sz w:val="20"/>
                <w:szCs w:val="20"/>
              </w:rPr>
              <w:t>trunking</w:t>
            </w:r>
            <w:proofErr w:type="spellEnd"/>
            <w:r>
              <w:rPr>
                <w:rFonts w:ascii="Arial" w:hAnsi="Arial" w:cs="Arial"/>
                <w:i/>
                <w:iCs/>
                <w:sz w:val="20"/>
                <w:szCs w:val="20"/>
              </w:rPr>
              <w:t xml:space="preserve">.  </w:t>
            </w:r>
          </w:p>
        </w:tc>
        <w:tc>
          <w:tcPr>
            <w:tcW w:w="1282" w:type="dxa"/>
            <w:tcBorders>
              <w:top w:val="nil"/>
              <w:left w:val="nil"/>
              <w:bottom w:val="single" w:sz="4" w:space="0" w:color="auto"/>
              <w:right w:val="single" w:sz="4" w:space="0" w:color="auto"/>
            </w:tcBorders>
            <w:tcMar>
              <w:top w:w="15" w:type="dxa"/>
              <w:left w:w="15" w:type="dxa"/>
              <w:bottom w:w="0" w:type="dxa"/>
              <w:right w:w="15" w:type="dxa"/>
            </w:tcMar>
          </w:tcPr>
          <w:p w14:paraId="62B0827E" w14:textId="77777777" w:rsidR="00327FDD" w:rsidRDefault="00327FDD" w:rsidP="00657E5D">
            <w:pPr>
              <w:jc w:val="both"/>
              <w:rPr>
                <w:rFonts w:ascii="Arial" w:hAnsi="Arial" w:cs="Arial"/>
                <w:i/>
                <w:iCs/>
                <w:sz w:val="20"/>
                <w:szCs w:val="20"/>
              </w:rPr>
            </w:pPr>
            <w:r>
              <w:rPr>
                <w:rFonts w:ascii="Arial" w:hAnsi="Arial" w:cs="Arial"/>
                <w:i/>
                <w:iCs/>
                <w:sz w:val="20"/>
                <w:szCs w:val="20"/>
              </w:rPr>
              <w:t>$300,000</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288B03ED" w14:textId="77777777" w:rsidR="00327FDD" w:rsidRDefault="00327FDD" w:rsidP="00657E5D">
            <w:pPr>
              <w:jc w:val="both"/>
              <w:rPr>
                <w:rFonts w:ascii="Arial" w:hAnsi="Arial" w:cs="Arial"/>
                <w:i/>
                <w:iCs/>
                <w:sz w:val="20"/>
                <w:szCs w:val="20"/>
              </w:rPr>
            </w:pPr>
            <w:r>
              <w:rPr>
                <w:rFonts w:ascii="Arial" w:hAnsi="Arial" w:cs="Arial"/>
                <w:i/>
                <w:iCs/>
                <w:sz w:val="20"/>
                <w:szCs w:val="20"/>
              </w:rPr>
              <w:t>70%</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78226101" w14:textId="77777777" w:rsidR="00327FDD" w:rsidRDefault="00327FDD" w:rsidP="00657E5D">
            <w:pPr>
              <w:jc w:val="both"/>
              <w:rPr>
                <w:rFonts w:ascii="Arial" w:hAnsi="Arial" w:cs="Arial"/>
                <w:i/>
                <w:iCs/>
                <w:sz w:val="20"/>
                <w:szCs w:val="20"/>
              </w:rPr>
            </w:pPr>
            <w:r>
              <w:rPr>
                <w:rFonts w:ascii="Arial" w:hAnsi="Arial" w:cs="Arial"/>
                <w:i/>
                <w:iCs/>
                <w:sz w:val="20"/>
                <w:szCs w:val="20"/>
              </w:rPr>
              <w:t>[1]</w:t>
            </w:r>
          </w:p>
        </w:tc>
        <w:tc>
          <w:tcPr>
            <w:tcW w:w="1471" w:type="dxa"/>
            <w:tcBorders>
              <w:top w:val="nil"/>
              <w:left w:val="nil"/>
              <w:bottom w:val="single" w:sz="4" w:space="0" w:color="auto"/>
              <w:right w:val="single" w:sz="4" w:space="0" w:color="auto"/>
            </w:tcBorders>
            <w:tcMar>
              <w:top w:w="15" w:type="dxa"/>
              <w:left w:w="15" w:type="dxa"/>
              <w:bottom w:w="0" w:type="dxa"/>
              <w:right w:w="15" w:type="dxa"/>
            </w:tcMar>
          </w:tcPr>
          <w:p w14:paraId="59F04F42" w14:textId="77777777" w:rsidR="00327FDD" w:rsidRDefault="00327FDD" w:rsidP="00657E5D">
            <w:pPr>
              <w:jc w:val="both"/>
              <w:rPr>
                <w:rFonts w:ascii="Arial" w:hAnsi="Arial" w:cs="Arial"/>
                <w:i/>
                <w:iCs/>
                <w:sz w:val="20"/>
                <w:szCs w:val="20"/>
              </w:rPr>
            </w:pPr>
            <w:r>
              <w:rPr>
                <w:rFonts w:ascii="Arial" w:hAnsi="Arial" w:cs="Arial"/>
                <w:i/>
                <w:iCs/>
                <w:sz w:val="20"/>
                <w:szCs w:val="20"/>
              </w:rPr>
              <w:t>$210,000</w:t>
            </w:r>
          </w:p>
        </w:tc>
      </w:tr>
      <w:tr w:rsidR="00327FDD" w14:paraId="4519FD38" w14:textId="77777777">
        <w:trPr>
          <w:trHeight w:val="570"/>
        </w:trPr>
        <w:tc>
          <w:tcPr>
            <w:tcW w:w="2355"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tcPr>
          <w:p w14:paraId="4EB9AE5A" w14:textId="77777777" w:rsidR="00327FDD" w:rsidRDefault="00327FDD" w:rsidP="00657E5D">
            <w:pPr>
              <w:jc w:val="both"/>
              <w:rPr>
                <w:rFonts w:ascii="Arial" w:hAnsi="Arial" w:cs="Arial"/>
                <w:i/>
                <w:iCs/>
                <w:sz w:val="20"/>
                <w:szCs w:val="20"/>
              </w:rPr>
            </w:pPr>
            <w:smartTag w:uri="urn:schemas-microsoft-com:office:smarttags" w:element="City">
              <w:smartTag w:uri="urn:schemas-microsoft-com:office:smarttags" w:element="place">
                <w:r>
                  <w:rPr>
                    <w:rFonts w:ascii="Arial" w:hAnsi="Arial" w:cs="Arial"/>
                    <w:i/>
                    <w:iCs/>
                    <w:sz w:val="20"/>
                    <w:szCs w:val="20"/>
                  </w:rPr>
                  <w:t>Wichita</w:t>
                </w:r>
              </w:smartTag>
            </w:smartTag>
            <w:r>
              <w:rPr>
                <w:rFonts w:ascii="Arial" w:hAnsi="Arial" w:cs="Arial"/>
                <w:i/>
                <w:iCs/>
                <w:sz w:val="20"/>
                <w:szCs w:val="20"/>
              </w:rPr>
              <w:t xml:space="preserve"> - Serves all customers in </w:t>
            </w:r>
            <w:smartTag w:uri="urn:schemas-microsoft-com:office:smarttags" w:element="State">
              <w:smartTag w:uri="urn:schemas-microsoft-com:office:smarttags" w:element="place">
                <w:r>
                  <w:rPr>
                    <w:rFonts w:ascii="Arial" w:hAnsi="Arial" w:cs="Arial"/>
                    <w:i/>
                    <w:iCs/>
                    <w:sz w:val="20"/>
                    <w:szCs w:val="20"/>
                  </w:rPr>
                  <w:t>Kansas</w:t>
                </w:r>
              </w:smartTag>
            </w:smartTag>
            <w:r>
              <w:rPr>
                <w:rFonts w:ascii="Arial" w:hAnsi="Arial" w:cs="Arial"/>
                <w:i/>
                <w:iCs/>
                <w:sz w:val="20"/>
                <w:szCs w:val="20"/>
              </w:rPr>
              <w:t xml:space="preserve">.  </w:t>
            </w:r>
          </w:p>
        </w:tc>
        <w:tc>
          <w:tcPr>
            <w:tcW w:w="3038" w:type="dxa"/>
            <w:gridSpan w:val="2"/>
            <w:tcBorders>
              <w:top w:val="nil"/>
              <w:left w:val="nil"/>
              <w:bottom w:val="single" w:sz="4" w:space="0" w:color="auto"/>
              <w:right w:val="single" w:sz="4" w:space="0" w:color="auto"/>
            </w:tcBorders>
            <w:tcMar>
              <w:top w:w="15" w:type="dxa"/>
              <w:left w:w="15" w:type="dxa"/>
              <w:bottom w:w="0" w:type="dxa"/>
              <w:right w:w="15" w:type="dxa"/>
            </w:tcMar>
          </w:tcPr>
          <w:p w14:paraId="44628EA2" w14:textId="77777777" w:rsidR="00327FDD" w:rsidRDefault="00327FDD" w:rsidP="00657E5D">
            <w:pPr>
              <w:jc w:val="both"/>
              <w:rPr>
                <w:rFonts w:ascii="Arial" w:hAnsi="Arial" w:cs="Arial"/>
                <w:i/>
                <w:iCs/>
                <w:sz w:val="20"/>
                <w:szCs w:val="20"/>
              </w:rPr>
            </w:pPr>
            <w:r>
              <w:rPr>
                <w:rFonts w:ascii="Arial" w:hAnsi="Arial" w:cs="Arial"/>
                <w:i/>
                <w:iCs/>
                <w:sz w:val="20"/>
                <w:szCs w:val="20"/>
              </w:rPr>
              <w:t xml:space="preserve">Switch Software Upgrade. </w:t>
            </w:r>
          </w:p>
        </w:tc>
        <w:tc>
          <w:tcPr>
            <w:tcW w:w="1282" w:type="dxa"/>
            <w:tcBorders>
              <w:top w:val="nil"/>
              <w:left w:val="nil"/>
              <w:bottom w:val="single" w:sz="4" w:space="0" w:color="auto"/>
              <w:right w:val="single" w:sz="4" w:space="0" w:color="auto"/>
            </w:tcBorders>
            <w:tcMar>
              <w:top w:w="15" w:type="dxa"/>
              <w:left w:w="15" w:type="dxa"/>
              <w:bottom w:w="0" w:type="dxa"/>
              <w:right w:w="15" w:type="dxa"/>
            </w:tcMar>
          </w:tcPr>
          <w:p w14:paraId="1406B1D3" w14:textId="77777777" w:rsidR="00327FDD" w:rsidRDefault="00327FDD" w:rsidP="00657E5D">
            <w:pPr>
              <w:jc w:val="both"/>
              <w:rPr>
                <w:rFonts w:ascii="Arial" w:hAnsi="Arial" w:cs="Arial"/>
                <w:i/>
                <w:iCs/>
                <w:sz w:val="20"/>
                <w:szCs w:val="20"/>
              </w:rPr>
            </w:pPr>
            <w:r>
              <w:rPr>
                <w:rFonts w:ascii="Arial" w:hAnsi="Arial" w:cs="Arial"/>
                <w:i/>
                <w:iCs/>
                <w:sz w:val="20"/>
                <w:szCs w:val="20"/>
              </w:rPr>
              <w:t>$250,000</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5FE09E61" w14:textId="77777777" w:rsidR="00327FDD" w:rsidRDefault="00327FDD" w:rsidP="00657E5D">
            <w:pPr>
              <w:jc w:val="both"/>
              <w:rPr>
                <w:rFonts w:ascii="Arial" w:hAnsi="Arial" w:cs="Arial"/>
                <w:i/>
                <w:iCs/>
                <w:sz w:val="20"/>
                <w:szCs w:val="20"/>
              </w:rPr>
            </w:pPr>
            <w:r>
              <w:rPr>
                <w:rFonts w:ascii="Arial" w:hAnsi="Arial" w:cs="Arial"/>
                <w:i/>
                <w:iCs/>
                <w:sz w:val="20"/>
                <w:szCs w:val="20"/>
              </w:rPr>
              <w:t>25%</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4728C7F4" w14:textId="77777777" w:rsidR="00327FDD" w:rsidRDefault="00327FDD" w:rsidP="00657E5D">
            <w:pPr>
              <w:jc w:val="both"/>
              <w:rPr>
                <w:rFonts w:ascii="Arial" w:hAnsi="Arial" w:cs="Arial"/>
                <w:i/>
                <w:iCs/>
                <w:sz w:val="20"/>
                <w:szCs w:val="20"/>
              </w:rPr>
            </w:pPr>
            <w:r>
              <w:rPr>
                <w:rFonts w:ascii="Arial" w:hAnsi="Arial" w:cs="Arial"/>
                <w:i/>
                <w:iCs/>
                <w:sz w:val="20"/>
                <w:szCs w:val="20"/>
              </w:rPr>
              <w:t>[2]</w:t>
            </w:r>
          </w:p>
        </w:tc>
        <w:tc>
          <w:tcPr>
            <w:tcW w:w="1471" w:type="dxa"/>
            <w:tcBorders>
              <w:top w:val="nil"/>
              <w:left w:val="nil"/>
              <w:bottom w:val="single" w:sz="4" w:space="0" w:color="auto"/>
              <w:right w:val="single" w:sz="4" w:space="0" w:color="auto"/>
            </w:tcBorders>
            <w:tcMar>
              <w:top w:w="15" w:type="dxa"/>
              <w:left w:w="15" w:type="dxa"/>
              <w:bottom w:w="0" w:type="dxa"/>
              <w:right w:w="15" w:type="dxa"/>
            </w:tcMar>
          </w:tcPr>
          <w:p w14:paraId="028BB7E2" w14:textId="77777777" w:rsidR="00327FDD" w:rsidRDefault="00327FDD" w:rsidP="00657E5D">
            <w:pPr>
              <w:jc w:val="both"/>
              <w:rPr>
                <w:rFonts w:ascii="Arial" w:hAnsi="Arial" w:cs="Arial"/>
                <w:i/>
                <w:iCs/>
                <w:sz w:val="20"/>
                <w:szCs w:val="20"/>
              </w:rPr>
            </w:pPr>
            <w:r>
              <w:rPr>
                <w:rFonts w:ascii="Arial" w:hAnsi="Arial" w:cs="Arial"/>
                <w:i/>
                <w:iCs/>
                <w:sz w:val="20"/>
                <w:szCs w:val="20"/>
              </w:rPr>
              <w:t>$50,000</w:t>
            </w:r>
          </w:p>
        </w:tc>
      </w:tr>
      <w:tr w:rsidR="00327FDD" w14:paraId="4409A496" w14:textId="77777777">
        <w:trPr>
          <w:trHeight w:val="282"/>
        </w:trPr>
        <w:tc>
          <w:tcPr>
            <w:tcW w:w="2355"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tcPr>
          <w:p w14:paraId="111415F4" w14:textId="77777777" w:rsidR="00327FDD" w:rsidRDefault="00327FDD" w:rsidP="00657E5D">
            <w:pPr>
              <w:pStyle w:val="Heading3"/>
              <w:jc w:val="both"/>
            </w:pPr>
            <w:r>
              <w:t>TOTAL</w:t>
            </w:r>
          </w:p>
        </w:tc>
        <w:tc>
          <w:tcPr>
            <w:tcW w:w="3038" w:type="dxa"/>
            <w:gridSpan w:val="2"/>
            <w:tcBorders>
              <w:top w:val="nil"/>
              <w:left w:val="nil"/>
              <w:bottom w:val="single" w:sz="4" w:space="0" w:color="auto"/>
              <w:right w:val="single" w:sz="4" w:space="0" w:color="auto"/>
            </w:tcBorders>
            <w:tcMar>
              <w:top w:w="15" w:type="dxa"/>
              <w:left w:w="15" w:type="dxa"/>
              <w:bottom w:w="0" w:type="dxa"/>
              <w:right w:w="15" w:type="dxa"/>
            </w:tcMar>
          </w:tcPr>
          <w:p w14:paraId="4A9AFC7E" w14:textId="77777777" w:rsidR="00327FDD" w:rsidRDefault="00327FDD" w:rsidP="00657E5D">
            <w:pPr>
              <w:jc w:val="both"/>
              <w:rPr>
                <w:rFonts w:ascii="Arial" w:hAnsi="Arial" w:cs="Arial"/>
                <w:i/>
                <w:iCs/>
                <w:sz w:val="20"/>
                <w:szCs w:val="20"/>
              </w:rPr>
            </w:pPr>
          </w:p>
        </w:tc>
        <w:tc>
          <w:tcPr>
            <w:tcW w:w="1282" w:type="dxa"/>
            <w:tcBorders>
              <w:top w:val="nil"/>
              <w:left w:val="nil"/>
              <w:bottom w:val="single" w:sz="4" w:space="0" w:color="auto"/>
              <w:right w:val="single" w:sz="4" w:space="0" w:color="auto"/>
            </w:tcBorders>
            <w:tcMar>
              <w:top w:w="15" w:type="dxa"/>
              <w:left w:w="15" w:type="dxa"/>
              <w:bottom w:w="0" w:type="dxa"/>
              <w:right w:w="15" w:type="dxa"/>
            </w:tcMar>
          </w:tcPr>
          <w:p w14:paraId="36D55939" w14:textId="77777777" w:rsidR="00327FDD" w:rsidRDefault="00327FDD" w:rsidP="00657E5D">
            <w:pPr>
              <w:jc w:val="both"/>
              <w:rPr>
                <w:rFonts w:ascii="Arial" w:hAnsi="Arial" w:cs="Arial"/>
                <w:i/>
                <w:iCs/>
                <w:sz w:val="20"/>
                <w:szCs w:val="20"/>
              </w:rPr>
            </w:pPr>
            <w:r>
              <w:rPr>
                <w:rFonts w:ascii="Arial" w:hAnsi="Arial" w:cs="Arial"/>
                <w:i/>
                <w:iCs/>
                <w:sz w:val="20"/>
                <w:szCs w:val="20"/>
              </w:rPr>
              <w:t>$550,000</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31CCA551" w14:textId="77777777" w:rsidR="00327FDD" w:rsidRDefault="00327FDD" w:rsidP="00657E5D">
            <w:pPr>
              <w:jc w:val="both"/>
              <w:rPr>
                <w:rFonts w:ascii="Arial" w:hAnsi="Arial" w:cs="Arial"/>
                <w:i/>
                <w:iCs/>
                <w:sz w:val="20"/>
                <w:szCs w:val="20"/>
              </w:rPr>
            </w:pP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12EEE474" w14:textId="77777777" w:rsidR="00327FDD" w:rsidRDefault="00327FDD" w:rsidP="00657E5D">
            <w:pPr>
              <w:jc w:val="both"/>
              <w:rPr>
                <w:rFonts w:ascii="Arial" w:hAnsi="Arial" w:cs="Arial"/>
                <w:i/>
                <w:iCs/>
                <w:sz w:val="20"/>
                <w:szCs w:val="20"/>
              </w:rPr>
            </w:pPr>
          </w:p>
        </w:tc>
        <w:tc>
          <w:tcPr>
            <w:tcW w:w="1471" w:type="dxa"/>
            <w:tcBorders>
              <w:top w:val="nil"/>
              <w:left w:val="nil"/>
              <w:bottom w:val="single" w:sz="4" w:space="0" w:color="auto"/>
              <w:right w:val="single" w:sz="4" w:space="0" w:color="auto"/>
            </w:tcBorders>
            <w:tcMar>
              <w:top w:w="15" w:type="dxa"/>
              <w:left w:w="15" w:type="dxa"/>
              <w:bottom w:w="0" w:type="dxa"/>
              <w:right w:w="15" w:type="dxa"/>
            </w:tcMar>
          </w:tcPr>
          <w:p w14:paraId="71BEE950" w14:textId="77777777" w:rsidR="00327FDD" w:rsidRDefault="00327FDD" w:rsidP="00657E5D">
            <w:pPr>
              <w:jc w:val="both"/>
              <w:rPr>
                <w:rFonts w:ascii="Arial" w:hAnsi="Arial" w:cs="Arial"/>
                <w:i/>
                <w:iCs/>
                <w:sz w:val="20"/>
                <w:szCs w:val="20"/>
              </w:rPr>
            </w:pPr>
            <w:r>
              <w:rPr>
                <w:rFonts w:ascii="Arial" w:hAnsi="Arial" w:cs="Arial"/>
                <w:i/>
                <w:iCs/>
                <w:sz w:val="20"/>
                <w:szCs w:val="20"/>
              </w:rPr>
              <w:t>$260,000</w:t>
            </w:r>
          </w:p>
        </w:tc>
      </w:tr>
      <w:tr w:rsidR="00327FDD" w14:paraId="7ADCE9E8" w14:textId="77777777">
        <w:trPr>
          <w:trHeight w:val="255"/>
        </w:trPr>
        <w:tc>
          <w:tcPr>
            <w:tcW w:w="2355" w:type="dxa"/>
            <w:gridSpan w:val="2"/>
            <w:tcBorders>
              <w:top w:val="nil"/>
              <w:left w:val="nil"/>
              <w:bottom w:val="nil"/>
              <w:right w:val="nil"/>
            </w:tcBorders>
            <w:noWrap/>
            <w:tcMar>
              <w:top w:w="15" w:type="dxa"/>
              <w:left w:w="15" w:type="dxa"/>
              <w:bottom w:w="0" w:type="dxa"/>
              <w:right w:w="15" w:type="dxa"/>
            </w:tcMar>
            <w:vAlign w:val="bottom"/>
          </w:tcPr>
          <w:p w14:paraId="40FBF884" w14:textId="77777777" w:rsidR="00327FDD" w:rsidRDefault="00327FDD" w:rsidP="00657E5D">
            <w:pPr>
              <w:jc w:val="both"/>
              <w:rPr>
                <w:rFonts w:ascii="Arial" w:hAnsi="Arial" w:cs="Arial"/>
                <w:sz w:val="20"/>
                <w:szCs w:val="20"/>
              </w:rPr>
            </w:pPr>
          </w:p>
        </w:tc>
        <w:tc>
          <w:tcPr>
            <w:tcW w:w="3038" w:type="dxa"/>
            <w:gridSpan w:val="2"/>
            <w:tcBorders>
              <w:top w:val="nil"/>
              <w:left w:val="nil"/>
              <w:bottom w:val="nil"/>
              <w:right w:val="nil"/>
            </w:tcBorders>
            <w:noWrap/>
            <w:tcMar>
              <w:top w:w="15" w:type="dxa"/>
              <w:left w:w="15" w:type="dxa"/>
              <w:bottom w:w="0" w:type="dxa"/>
              <w:right w:w="15" w:type="dxa"/>
            </w:tcMar>
            <w:vAlign w:val="bottom"/>
          </w:tcPr>
          <w:p w14:paraId="1D79BA9E" w14:textId="77777777" w:rsidR="00327FDD" w:rsidRDefault="00327FDD" w:rsidP="00657E5D">
            <w:pPr>
              <w:jc w:val="both"/>
              <w:rPr>
                <w:rFonts w:ascii="Arial" w:hAnsi="Arial" w:cs="Arial"/>
                <w:sz w:val="20"/>
                <w:szCs w:val="20"/>
              </w:rPr>
            </w:pPr>
          </w:p>
        </w:tc>
        <w:tc>
          <w:tcPr>
            <w:tcW w:w="1282" w:type="dxa"/>
            <w:tcBorders>
              <w:top w:val="nil"/>
              <w:left w:val="nil"/>
              <w:bottom w:val="nil"/>
              <w:right w:val="nil"/>
            </w:tcBorders>
            <w:tcMar>
              <w:top w:w="15" w:type="dxa"/>
              <w:left w:w="15" w:type="dxa"/>
              <w:bottom w:w="0" w:type="dxa"/>
              <w:right w:w="15" w:type="dxa"/>
            </w:tcMar>
            <w:vAlign w:val="bottom"/>
          </w:tcPr>
          <w:p w14:paraId="61F910FE" w14:textId="77777777" w:rsidR="00327FDD" w:rsidRDefault="00327FDD"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2B0DD90F" w14:textId="77777777" w:rsidR="00327FDD" w:rsidRDefault="00327FDD"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4D4CE6CC" w14:textId="77777777" w:rsidR="00327FDD" w:rsidRDefault="00327FDD" w:rsidP="00657E5D">
            <w:pPr>
              <w:jc w:val="both"/>
              <w:rPr>
                <w:rFonts w:ascii="Arial" w:hAnsi="Arial" w:cs="Arial"/>
                <w:sz w:val="20"/>
                <w:szCs w:val="20"/>
              </w:rPr>
            </w:pPr>
          </w:p>
        </w:tc>
        <w:tc>
          <w:tcPr>
            <w:tcW w:w="1471" w:type="dxa"/>
            <w:tcBorders>
              <w:top w:val="nil"/>
              <w:left w:val="nil"/>
              <w:bottom w:val="nil"/>
              <w:right w:val="nil"/>
            </w:tcBorders>
            <w:tcMar>
              <w:top w:w="15" w:type="dxa"/>
              <w:left w:w="15" w:type="dxa"/>
              <w:bottom w:w="0" w:type="dxa"/>
              <w:right w:w="15" w:type="dxa"/>
            </w:tcMar>
            <w:vAlign w:val="bottom"/>
          </w:tcPr>
          <w:p w14:paraId="1A3EEB7D" w14:textId="77777777" w:rsidR="00327FDD" w:rsidRDefault="00327FDD" w:rsidP="00657E5D">
            <w:pPr>
              <w:jc w:val="both"/>
              <w:rPr>
                <w:rFonts w:ascii="Arial" w:hAnsi="Arial" w:cs="Arial"/>
                <w:sz w:val="20"/>
                <w:szCs w:val="20"/>
              </w:rPr>
            </w:pPr>
          </w:p>
        </w:tc>
      </w:tr>
      <w:tr w:rsidR="00327FDD" w14:paraId="1A7820F7" w14:textId="77777777">
        <w:trPr>
          <w:trHeight w:val="255"/>
        </w:trPr>
        <w:tc>
          <w:tcPr>
            <w:tcW w:w="7755" w:type="dxa"/>
            <w:gridSpan w:val="6"/>
            <w:tcBorders>
              <w:top w:val="nil"/>
              <w:left w:val="nil"/>
              <w:bottom w:val="nil"/>
              <w:right w:val="nil"/>
            </w:tcBorders>
            <w:noWrap/>
            <w:tcMar>
              <w:top w:w="15" w:type="dxa"/>
              <w:left w:w="15" w:type="dxa"/>
              <w:bottom w:w="0" w:type="dxa"/>
              <w:right w:w="15" w:type="dxa"/>
            </w:tcMar>
          </w:tcPr>
          <w:p w14:paraId="08065EC6" w14:textId="77777777" w:rsidR="00327FDD" w:rsidRDefault="00327FDD" w:rsidP="00657E5D">
            <w:pPr>
              <w:jc w:val="both"/>
              <w:rPr>
                <w:rFonts w:ascii="Arial" w:hAnsi="Arial" w:cs="Arial"/>
                <w:b/>
                <w:bCs/>
                <w:sz w:val="20"/>
                <w:szCs w:val="20"/>
              </w:rPr>
            </w:pPr>
            <w:r>
              <w:rPr>
                <w:rFonts w:ascii="Arial" w:hAnsi="Arial" w:cs="Arial"/>
                <w:b/>
                <w:bCs/>
                <w:sz w:val="20"/>
                <w:szCs w:val="20"/>
              </w:rPr>
              <w:t xml:space="preserve">NOTES  </w:t>
            </w:r>
          </w:p>
          <w:p w14:paraId="776E7E36" w14:textId="77777777" w:rsidR="00327FDD" w:rsidRDefault="00327FDD" w:rsidP="00657E5D">
            <w:pPr>
              <w:jc w:val="both"/>
              <w:rPr>
                <w:rFonts w:ascii="Arial" w:hAnsi="Arial" w:cs="Arial"/>
                <w:sz w:val="20"/>
                <w:szCs w:val="20"/>
              </w:rPr>
            </w:pPr>
            <w:r>
              <w:rPr>
                <w:rFonts w:ascii="Arial" w:hAnsi="Arial" w:cs="Arial"/>
                <w:sz w:val="20"/>
                <w:szCs w:val="20"/>
              </w:rPr>
              <w:t xml:space="preserve">[1] Percent of the service area that is USF supported on geography served.  </w:t>
            </w:r>
          </w:p>
          <w:p w14:paraId="64ECC4DE" w14:textId="77777777" w:rsidR="00327FDD" w:rsidRDefault="00327FDD" w:rsidP="00657E5D">
            <w:pPr>
              <w:jc w:val="both"/>
              <w:rPr>
                <w:rFonts w:ascii="Arial" w:hAnsi="Arial" w:cs="Arial"/>
                <w:sz w:val="20"/>
                <w:szCs w:val="20"/>
              </w:rPr>
            </w:pPr>
            <w:r>
              <w:rPr>
                <w:rFonts w:ascii="Arial" w:hAnsi="Arial" w:cs="Arial"/>
                <w:sz w:val="20"/>
                <w:szCs w:val="20"/>
              </w:rPr>
              <w:t>[2] Percent of switch that is USF supported based on lines served.</w:t>
            </w:r>
          </w:p>
        </w:tc>
        <w:tc>
          <w:tcPr>
            <w:tcW w:w="1080" w:type="dxa"/>
            <w:tcBorders>
              <w:top w:val="nil"/>
              <w:left w:val="nil"/>
              <w:bottom w:val="nil"/>
              <w:right w:val="nil"/>
            </w:tcBorders>
            <w:noWrap/>
            <w:tcMar>
              <w:top w:w="15" w:type="dxa"/>
              <w:left w:w="15" w:type="dxa"/>
              <w:bottom w:w="0" w:type="dxa"/>
              <w:right w:w="15" w:type="dxa"/>
            </w:tcMar>
          </w:tcPr>
          <w:p w14:paraId="6A495E2D" w14:textId="77777777" w:rsidR="00327FDD" w:rsidRDefault="00327FDD" w:rsidP="00657E5D">
            <w:pPr>
              <w:jc w:val="both"/>
              <w:rPr>
                <w:rFonts w:ascii="Arial" w:hAnsi="Arial" w:cs="Arial"/>
                <w:sz w:val="20"/>
                <w:szCs w:val="20"/>
              </w:rPr>
            </w:pPr>
          </w:p>
        </w:tc>
        <w:tc>
          <w:tcPr>
            <w:tcW w:w="1471" w:type="dxa"/>
            <w:tcBorders>
              <w:top w:val="nil"/>
              <w:left w:val="nil"/>
              <w:bottom w:val="nil"/>
              <w:right w:val="nil"/>
            </w:tcBorders>
            <w:tcMar>
              <w:top w:w="15" w:type="dxa"/>
              <w:left w:w="15" w:type="dxa"/>
              <w:bottom w:w="0" w:type="dxa"/>
              <w:right w:w="15" w:type="dxa"/>
            </w:tcMar>
            <w:vAlign w:val="bottom"/>
          </w:tcPr>
          <w:p w14:paraId="1BAEC2E9" w14:textId="77777777" w:rsidR="00327FDD" w:rsidRDefault="00327FDD" w:rsidP="00657E5D">
            <w:pPr>
              <w:jc w:val="both"/>
              <w:rPr>
                <w:rFonts w:ascii="Arial" w:hAnsi="Arial" w:cs="Arial"/>
                <w:sz w:val="20"/>
                <w:szCs w:val="20"/>
              </w:rPr>
            </w:pPr>
          </w:p>
        </w:tc>
      </w:tr>
      <w:tr w:rsidR="00327FDD" w14:paraId="34F56DE0" w14:textId="77777777">
        <w:trPr>
          <w:trHeight w:val="255"/>
        </w:trPr>
        <w:tc>
          <w:tcPr>
            <w:tcW w:w="1460" w:type="dxa"/>
            <w:tcBorders>
              <w:top w:val="nil"/>
              <w:left w:val="nil"/>
              <w:bottom w:val="nil"/>
              <w:right w:val="nil"/>
            </w:tcBorders>
            <w:noWrap/>
            <w:tcMar>
              <w:top w:w="15" w:type="dxa"/>
              <w:left w:w="15" w:type="dxa"/>
              <w:bottom w:w="0" w:type="dxa"/>
              <w:right w:w="15" w:type="dxa"/>
            </w:tcMar>
          </w:tcPr>
          <w:p w14:paraId="0D955FAD" w14:textId="77777777" w:rsidR="00327FDD" w:rsidRDefault="00327FDD" w:rsidP="00657E5D">
            <w:pPr>
              <w:jc w:val="both"/>
              <w:rPr>
                <w:rFonts w:ascii="Arial" w:hAnsi="Arial" w:cs="Arial"/>
                <w:sz w:val="20"/>
                <w:szCs w:val="20"/>
              </w:rPr>
            </w:pPr>
          </w:p>
        </w:tc>
        <w:tc>
          <w:tcPr>
            <w:tcW w:w="3933" w:type="dxa"/>
            <w:gridSpan w:val="3"/>
            <w:tcBorders>
              <w:top w:val="nil"/>
              <w:left w:val="nil"/>
              <w:bottom w:val="nil"/>
              <w:right w:val="nil"/>
            </w:tcBorders>
            <w:noWrap/>
            <w:tcMar>
              <w:top w:w="15" w:type="dxa"/>
              <w:left w:w="15" w:type="dxa"/>
              <w:bottom w:w="0" w:type="dxa"/>
              <w:right w:w="15" w:type="dxa"/>
            </w:tcMar>
            <w:vAlign w:val="bottom"/>
          </w:tcPr>
          <w:p w14:paraId="36842F50" w14:textId="77777777" w:rsidR="00327FDD" w:rsidRDefault="00327FDD" w:rsidP="00657E5D">
            <w:pPr>
              <w:jc w:val="both"/>
              <w:rPr>
                <w:rFonts w:ascii="Arial" w:hAnsi="Arial" w:cs="Arial"/>
                <w:sz w:val="20"/>
                <w:szCs w:val="20"/>
              </w:rPr>
            </w:pPr>
          </w:p>
        </w:tc>
        <w:tc>
          <w:tcPr>
            <w:tcW w:w="1282" w:type="dxa"/>
            <w:tcBorders>
              <w:top w:val="nil"/>
              <w:left w:val="nil"/>
              <w:bottom w:val="nil"/>
              <w:right w:val="nil"/>
            </w:tcBorders>
            <w:tcMar>
              <w:top w:w="15" w:type="dxa"/>
              <w:left w:w="15" w:type="dxa"/>
              <w:bottom w:w="0" w:type="dxa"/>
              <w:right w:w="15" w:type="dxa"/>
            </w:tcMar>
            <w:vAlign w:val="bottom"/>
          </w:tcPr>
          <w:p w14:paraId="0817E423" w14:textId="77777777" w:rsidR="00327FDD" w:rsidRDefault="00327FDD"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1797BE8D" w14:textId="77777777" w:rsidR="00327FDD" w:rsidRDefault="00327FDD"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3375E4AA" w14:textId="77777777" w:rsidR="00327FDD" w:rsidRDefault="00327FDD" w:rsidP="00657E5D">
            <w:pPr>
              <w:jc w:val="both"/>
              <w:rPr>
                <w:rFonts w:ascii="Arial" w:hAnsi="Arial" w:cs="Arial"/>
                <w:sz w:val="20"/>
                <w:szCs w:val="20"/>
              </w:rPr>
            </w:pPr>
          </w:p>
        </w:tc>
        <w:tc>
          <w:tcPr>
            <w:tcW w:w="1471" w:type="dxa"/>
            <w:tcBorders>
              <w:top w:val="nil"/>
              <w:left w:val="nil"/>
              <w:bottom w:val="nil"/>
              <w:right w:val="nil"/>
            </w:tcBorders>
            <w:tcMar>
              <w:top w:w="15" w:type="dxa"/>
              <w:left w:w="15" w:type="dxa"/>
              <w:bottom w:w="0" w:type="dxa"/>
              <w:right w:w="15" w:type="dxa"/>
            </w:tcMar>
            <w:vAlign w:val="bottom"/>
          </w:tcPr>
          <w:p w14:paraId="4CD22580" w14:textId="77777777" w:rsidR="00327FDD" w:rsidRDefault="00327FDD" w:rsidP="00657E5D">
            <w:pPr>
              <w:jc w:val="both"/>
              <w:rPr>
                <w:rFonts w:ascii="Arial" w:hAnsi="Arial" w:cs="Arial"/>
                <w:sz w:val="20"/>
                <w:szCs w:val="20"/>
              </w:rPr>
            </w:pPr>
          </w:p>
        </w:tc>
      </w:tr>
      <w:tr w:rsidR="00327FDD" w14:paraId="07752401" w14:textId="77777777">
        <w:trPr>
          <w:trHeight w:val="330"/>
        </w:trPr>
        <w:tc>
          <w:tcPr>
            <w:tcW w:w="5393" w:type="dxa"/>
            <w:gridSpan w:val="4"/>
            <w:tcBorders>
              <w:top w:val="nil"/>
              <w:left w:val="nil"/>
              <w:bottom w:val="nil"/>
              <w:right w:val="nil"/>
            </w:tcBorders>
            <w:noWrap/>
            <w:tcMar>
              <w:top w:w="15" w:type="dxa"/>
              <w:left w:w="15" w:type="dxa"/>
              <w:bottom w:w="0" w:type="dxa"/>
              <w:right w:w="15" w:type="dxa"/>
            </w:tcMar>
          </w:tcPr>
          <w:p w14:paraId="46850410" w14:textId="77777777" w:rsidR="00327FDD" w:rsidRDefault="00327FDD" w:rsidP="00657E5D">
            <w:pPr>
              <w:jc w:val="both"/>
              <w:rPr>
                <w:rFonts w:ascii="Arial" w:hAnsi="Arial" w:cs="Arial"/>
                <w:b/>
                <w:bCs/>
                <w:sz w:val="22"/>
                <w:szCs w:val="22"/>
              </w:rPr>
            </w:pPr>
            <w:r>
              <w:rPr>
                <w:rFonts w:ascii="Arial" w:hAnsi="Arial" w:cs="Arial"/>
                <w:b/>
                <w:bCs/>
                <w:sz w:val="22"/>
                <w:szCs w:val="22"/>
              </w:rPr>
              <w:t xml:space="preserve">EXAMPLE of a WIRELINE COMPANY </w:t>
            </w:r>
          </w:p>
        </w:tc>
        <w:tc>
          <w:tcPr>
            <w:tcW w:w="1282" w:type="dxa"/>
            <w:tcBorders>
              <w:top w:val="nil"/>
              <w:left w:val="nil"/>
              <w:bottom w:val="nil"/>
              <w:right w:val="nil"/>
            </w:tcBorders>
            <w:tcMar>
              <w:top w:w="15" w:type="dxa"/>
              <w:left w:w="15" w:type="dxa"/>
              <w:bottom w:w="0" w:type="dxa"/>
              <w:right w:w="15" w:type="dxa"/>
            </w:tcMar>
          </w:tcPr>
          <w:p w14:paraId="77F9C3E8" w14:textId="77777777" w:rsidR="00327FDD" w:rsidRDefault="00327FDD" w:rsidP="00657E5D">
            <w:pPr>
              <w:jc w:val="both"/>
              <w:rPr>
                <w:rFonts w:ascii="Arial" w:hAnsi="Arial" w:cs="Arial"/>
                <w:sz w:val="22"/>
                <w:szCs w:val="22"/>
              </w:rPr>
            </w:pPr>
          </w:p>
        </w:tc>
        <w:tc>
          <w:tcPr>
            <w:tcW w:w="1080" w:type="dxa"/>
            <w:tcBorders>
              <w:top w:val="nil"/>
              <w:left w:val="nil"/>
              <w:bottom w:val="nil"/>
              <w:right w:val="nil"/>
            </w:tcBorders>
            <w:noWrap/>
            <w:tcMar>
              <w:top w:w="15" w:type="dxa"/>
              <w:left w:w="15" w:type="dxa"/>
              <w:bottom w:w="0" w:type="dxa"/>
              <w:right w:w="15" w:type="dxa"/>
            </w:tcMar>
          </w:tcPr>
          <w:p w14:paraId="43DDA347" w14:textId="77777777" w:rsidR="00327FDD" w:rsidRDefault="00327FDD"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28CDA858" w14:textId="77777777" w:rsidR="00327FDD" w:rsidRDefault="00327FDD" w:rsidP="00657E5D">
            <w:pPr>
              <w:jc w:val="both"/>
              <w:rPr>
                <w:rFonts w:ascii="Arial" w:hAnsi="Arial" w:cs="Arial"/>
                <w:sz w:val="20"/>
                <w:szCs w:val="20"/>
              </w:rPr>
            </w:pPr>
          </w:p>
        </w:tc>
        <w:tc>
          <w:tcPr>
            <w:tcW w:w="1471" w:type="dxa"/>
            <w:tcBorders>
              <w:top w:val="nil"/>
              <w:left w:val="nil"/>
              <w:bottom w:val="nil"/>
              <w:right w:val="nil"/>
            </w:tcBorders>
            <w:tcMar>
              <w:top w:w="15" w:type="dxa"/>
              <w:left w:w="15" w:type="dxa"/>
              <w:bottom w:w="0" w:type="dxa"/>
              <w:right w:w="15" w:type="dxa"/>
            </w:tcMar>
            <w:vAlign w:val="bottom"/>
          </w:tcPr>
          <w:p w14:paraId="74C011BB" w14:textId="77777777" w:rsidR="00327FDD" w:rsidRDefault="00327FDD" w:rsidP="00657E5D">
            <w:pPr>
              <w:jc w:val="both"/>
              <w:rPr>
                <w:rFonts w:ascii="Arial" w:hAnsi="Arial" w:cs="Arial"/>
                <w:sz w:val="20"/>
                <w:szCs w:val="20"/>
              </w:rPr>
            </w:pPr>
          </w:p>
        </w:tc>
      </w:tr>
      <w:tr w:rsidR="00327FDD" w14:paraId="0FBE9306" w14:textId="77777777">
        <w:trPr>
          <w:trHeight w:val="1054"/>
        </w:trPr>
        <w:tc>
          <w:tcPr>
            <w:tcW w:w="2535" w:type="dxa"/>
            <w:gridSpan w:val="3"/>
            <w:tcBorders>
              <w:top w:val="single" w:sz="8" w:space="0" w:color="auto"/>
              <w:left w:val="single" w:sz="8" w:space="0" w:color="auto"/>
              <w:bottom w:val="single" w:sz="8" w:space="0" w:color="auto"/>
              <w:right w:val="nil"/>
            </w:tcBorders>
            <w:tcMar>
              <w:top w:w="15" w:type="dxa"/>
              <w:left w:w="15" w:type="dxa"/>
              <w:bottom w:w="0" w:type="dxa"/>
              <w:right w:w="15" w:type="dxa"/>
            </w:tcMar>
          </w:tcPr>
          <w:p w14:paraId="33F2F196" w14:textId="77777777" w:rsidR="00327FDD" w:rsidRDefault="00327FDD" w:rsidP="00657E5D">
            <w:pPr>
              <w:jc w:val="both"/>
              <w:rPr>
                <w:rFonts w:ascii="Arial" w:hAnsi="Arial" w:cs="Arial"/>
                <w:b/>
                <w:bCs/>
                <w:sz w:val="20"/>
                <w:szCs w:val="20"/>
              </w:rPr>
            </w:pPr>
          </w:p>
          <w:p w14:paraId="0A2ADC51" w14:textId="77777777" w:rsidR="00327FDD" w:rsidRDefault="00327FDD" w:rsidP="00657E5D">
            <w:pPr>
              <w:jc w:val="both"/>
              <w:rPr>
                <w:rFonts w:ascii="Arial" w:hAnsi="Arial" w:cs="Arial"/>
                <w:b/>
                <w:bCs/>
                <w:sz w:val="20"/>
                <w:szCs w:val="20"/>
              </w:rPr>
            </w:pPr>
          </w:p>
          <w:p w14:paraId="2952B438" w14:textId="77777777" w:rsidR="00327FDD" w:rsidRDefault="00327FDD" w:rsidP="00657E5D">
            <w:pPr>
              <w:jc w:val="both"/>
              <w:rPr>
                <w:rFonts w:ascii="Arial" w:hAnsi="Arial" w:cs="Arial"/>
                <w:b/>
                <w:bCs/>
                <w:sz w:val="20"/>
                <w:szCs w:val="20"/>
              </w:rPr>
            </w:pPr>
          </w:p>
          <w:p w14:paraId="64D882F0" w14:textId="77777777" w:rsidR="00327FDD" w:rsidRDefault="00327FDD" w:rsidP="00657E5D">
            <w:pPr>
              <w:jc w:val="both"/>
              <w:rPr>
                <w:rFonts w:ascii="Arial" w:hAnsi="Arial" w:cs="Arial"/>
                <w:b/>
                <w:bCs/>
                <w:sz w:val="20"/>
                <w:szCs w:val="20"/>
              </w:rPr>
            </w:pPr>
            <w:r>
              <w:rPr>
                <w:rFonts w:ascii="Arial" w:hAnsi="Arial" w:cs="Arial"/>
                <w:b/>
                <w:bCs/>
                <w:sz w:val="20"/>
                <w:szCs w:val="20"/>
              </w:rPr>
              <w:t>Town or Exchange</w:t>
            </w:r>
          </w:p>
        </w:tc>
        <w:tc>
          <w:tcPr>
            <w:tcW w:w="2858" w:type="dxa"/>
            <w:tcBorders>
              <w:top w:val="single" w:sz="8" w:space="0" w:color="auto"/>
              <w:left w:val="nil"/>
              <w:bottom w:val="single" w:sz="8" w:space="0" w:color="auto"/>
              <w:right w:val="nil"/>
            </w:tcBorders>
            <w:noWrap/>
            <w:tcMar>
              <w:top w:w="15" w:type="dxa"/>
              <w:left w:w="15" w:type="dxa"/>
              <w:bottom w:w="0" w:type="dxa"/>
              <w:right w:w="15" w:type="dxa"/>
            </w:tcMar>
          </w:tcPr>
          <w:p w14:paraId="61240CAC" w14:textId="77777777" w:rsidR="00327FDD" w:rsidRDefault="00327FDD" w:rsidP="00657E5D">
            <w:pPr>
              <w:jc w:val="both"/>
              <w:rPr>
                <w:rFonts w:ascii="Arial" w:hAnsi="Arial" w:cs="Arial"/>
                <w:b/>
                <w:bCs/>
                <w:sz w:val="20"/>
                <w:szCs w:val="20"/>
              </w:rPr>
            </w:pPr>
          </w:p>
          <w:p w14:paraId="3F071A5F" w14:textId="77777777" w:rsidR="00327FDD" w:rsidRDefault="00327FDD" w:rsidP="00657E5D">
            <w:pPr>
              <w:jc w:val="both"/>
              <w:rPr>
                <w:rFonts w:ascii="Arial" w:hAnsi="Arial" w:cs="Arial"/>
                <w:b/>
                <w:bCs/>
                <w:sz w:val="20"/>
                <w:szCs w:val="20"/>
              </w:rPr>
            </w:pPr>
          </w:p>
          <w:p w14:paraId="0E8B79F8" w14:textId="77777777" w:rsidR="00327FDD" w:rsidRDefault="00327FDD" w:rsidP="00657E5D">
            <w:pPr>
              <w:jc w:val="both"/>
              <w:rPr>
                <w:rFonts w:ascii="Arial" w:hAnsi="Arial" w:cs="Arial"/>
                <w:b/>
                <w:bCs/>
                <w:sz w:val="20"/>
                <w:szCs w:val="20"/>
              </w:rPr>
            </w:pPr>
          </w:p>
          <w:p w14:paraId="17D2CF33" w14:textId="77777777" w:rsidR="00327FDD" w:rsidRDefault="00327FDD" w:rsidP="00657E5D">
            <w:pPr>
              <w:jc w:val="both"/>
              <w:rPr>
                <w:rFonts w:ascii="Arial" w:hAnsi="Arial" w:cs="Arial"/>
                <w:b/>
                <w:bCs/>
                <w:sz w:val="20"/>
                <w:szCs w:val="20"/>
              </w:rPr>
            </w:pPr>
          </w:p>
          <w:p w14:paraId="0D63A289" w14:textId="77777777" w:rsidR="00327FDD" w:rsidRDefault="00327FDD" w:rsidP="00657E5D">
            <w:pPr>
              <w:jc w:val="both"/>
              <w:rPr>
                <w:rFonts w:ascii="Arial" w:hAnsi="Arial" w:cs="Arial"/>
                <w:b/>
                <w:bCs/>
                <w:sz w:val="20"/>
                <w:szCs w:val="20"/>
              </w:rPr>
            </w:pPr>
            <w:r>
              <w:rPr>
                <w:rFonts w:ascii="Arial" w:hAnsi="Arial" w:cs="Arial"/>
                <w:b/>
                <w:bCs/>
                <w:sz w:val="20"/>
                <w:szCs w:val="20"/>
              </w:rPr>
              <w:t>Description of Improvement</w:t>
            </w:r>
          </w:p>
        </w:tc>
        <w:tc>
          <w:tcPr>
            <w:tcW w:w="1282" w:type="dxa"/>
            <w:tcBorders>
              <w:top w:val="single" w:sz="8" w:space="0" w:color="auto"/>
              <w:left w:val="nil"/>
              <w:bottom w:val="single" w:sz="8" w:space="0" w:color="auto"/>
              <w:right w:val="nil"/>
            </w:tcBorders>
            <w:tcMar>
              <w:top w:w="15" w:type="dxa"/>
              <w:left w:w="15" w:type="dxa"/>
              <w:bottom w:w="0" w:type="dxa"/>
              <w:right w:w="15" w:type="dxa"/>
            </w:tcMar>
          </w:tcPr>
          <w:p w14:paraId="425F0E6D" w14:textId="77777777" w:rsidR="00327FDD" w:rsidRDefault="00327FDD" w:rsidP="00657E5D">
            <w:pPr>
              <w:jc w:val="both"/>
              <w:rPr>
                <w:rFonts w:ascii="Arial" w:hAnsi="Arial" w:cs="Arial"/>
                <w:b/>
                <w:bCs/>
                <w:sz w:val="20"/>
                <w:szCs w:val="20"/>
              </w:rPr>
            </w:pPr>
          </w:p>
          <w:p w14:paraId="53B94F54" w14:textId="77777777" w:rsidR="00327FDD" w:rsidRDefault="00327FDD" w:rsidP="00657E5D">
            <w:pPr>
              <w:jc w:val="both"/>
              <w:rPr>
                <w:rFonts w:ascii="Arial" w:hAnsi="Arial" w:cs="Arial"/>
                <w:b/>
                <w:bCs/>
                <w:sz w:val="20"/>
                <w:szCs w:val="20"/>
              </w:rPr>
            </w:pPr>
          </w:p>
          <w:p w14:paraId="07251A4B" w14:textId="77777777" w:rsidR="00327FDD" w:rsidRDefault="00327FDD" w:rsidP="00657E5D">
            <w:pPr>
              <w:jc w:val="both"/>
              <w:rPr>
                <w:rFonts w:ascii="Arial" w:hAnsi="Arial" w:cs="Arial"/>
                <w:b/>
                <w:bCs/>
                <w:sz w:val="20"/>
                <w:szCs w:val="20"/>
              </w:rPr>
            </w:pPr>
          </w:p>
          <w:p w14:paraId="356E5B61" w14:textId="77777777" w:rsidR="00327FDD" w:rsidRDefault="00327FDD" w:rsidP="00657E5D">
            <w:pPr>
              <w:jc w:val="both"/>
              <w:rPr>
                <w:rFonts w:ascii="Arial" w:hAnsi="Arial" w:cs="Arial"/>
                <w:b/>
                <w:bCs/>
                <w:sz w:val="20"/>
                <w:szCs w:val="20"/>
              </w:rPr>
            </w:pPr>
            <w:r>
              <w:rPr>
                <w:rFonts w:ascii="Arial" w:hAnsi="Arial" w:cs="Arial"/>
                <w:b/>
                <w:bCs/>
                <w:sz w:val="20"/>
                <w:szCs w:val="20"/>
              </w:rPr>
              <w:t>Cash Investment</w:t>
            </w:r>
          </w:p>
        </w:tc>
        <w:tc>
          <w:tcPr>
            <w:tcW w:w="1080" w:type="dxa"/>
            <w:tcBorders>
              <w:top w:val="single" w:sz="8" w:space="0" w:color="auto"/>
              <w:left w:val="nil"/>
              <w:bottom w:val="single" w:sz="8" w:space="0" w:color="auto"/>
              <w:right w:val="nil"/>
            </w:tcBorders>
            <w:noWrap/>
            <w:tcMar>
              <w:top w:w="15" w:type="dxa"/>
              <w:left w:w="15" w:type="dxa"/>
              <w:bottom w:w="0" w:type="dxa"/>
              <w:right w:w="15" w:type="dxa"/>
            </w:tcMar>
          </w:tcPr>
          <w:p w14:paraId="65B4718D" w14:textId="77777777" w:rsidR="00327FDD" w:rsidRDefault="00327FDD" w:rsidP="00657E5D">
            <w:pPr>
              <w:jc w:val="both"/>
              <w:rPr>
                <w:rFonts w:ascii="Arial" w:hAnsi="Arial" w:cs="Arial"/>
                <w:b/>
                <w:bCs/>
                <w:sz w:val="20"/>
                <w:szCs w:val="20"/>
              </w:rPr>
            </w:pPr>
          </w:p>
          <w:p w14:paraId="56751BD7" w14:textId="77777777" w:rsidR="00327FDD" w:rsidRDefault="00327FDD" w:rsidP="00657E5D">
            <w:pPr>
              <w:jc w:val="both"/>
              <w:rPr>
                <w:rFonts w:ascii="Arial" w:hAnsi="Arial" w:cs="Arial"/>
                <w:b/>
                <w:bCs/>
                <w:sz w:val="20"/>
                <w:szCs w:val="20"/>
              </w:rPr>
            </w:pPr>
          </w:p>
          <w:p w14:paraId="65B9FD57" w14:textId="77777777" w:rsidR="00327FDD" w:rsidRDefault="00327FDD" w:rsidP="00657E5D">
            <w:pPr>
              <w:jc w:val="both"/>
              <w:rPr>
                <w:rFonts w:ascii="Arial" w:hAnsi="Arial" w:cs="Arial"/>
                <w:b/>
                <w:bCs/>
                <w:sz w:val="20"/>
                <w:szCs w:val="20"/>
              </w:rPr>
            </w:pPr>
          </w:p>
          <w:p w14:paraId="2B38E493" w14:textId="77777777" w:rsidR="00327FDD" w:rsidRDefault="00327FDD" w:rsidP="00657E5D">
            <w:pPr>
              <w:jc w:val="both"/>
              <w:rPr>
                <w:rFonts w:ascii="Arial" w:hAnsi="Arial" w:cs="Arial"/>
                <w:b/>
                <w:bCs/>
                <w:sz w:val="20"/>
                <w:szCs w:val="20"/>
              </w:rPr>
            </w:pPr>
            <w:r>
              <w:rPr>
                <w:rFonts w:ascii="Arial" w:hAnsi="Arial" w:cs="Arial"/>
                <w:b/>
                <w:bCs/>
                <w:sz w:val="20"/>
                <w:szCs w:val="20"/>
              </w:rPr>
              <w:t>Allocation</w:t>
            </w:r>
          </w:p>
          <w:p w14:paraId="40A59971" w14:textId="77777777" w:rsidR="00327FDD" w:rsidRDefault="00327FDD" w:rsidP="00657E5D">
            <w:pPr>
              <w:jc w:val="both"/>
              <w:rPr>
                <w:rFonts w:ascii="Arial" w:hAnsi="Arial" w:cs="Arial"/>
                <w:b/>
                <w:bCs/>
                <w:sz w:val="20"/>
                <w:szCs w:val="20"/>
              </w:rPr>
            </w:pPr>
            <w:r>
              <w:rPr>
                <w:rFonts w:ascii="Arial" w:hAnsi="Arial" w:cs="Arial"/>
                <w:b/>
                <w:bCs/>
                <w:sz w:val="20"/>
                <w:szCs w:val="20"/>
              </w:rPr>
              <w:t xml:space="preserve">        %</w:t>
            </w:r>
          </w:p>
        </w:tc>
        <w:tc>
          <w:tcPr>
            <w:tcW w:w="1080" w:type="dxa"/>
            <w:tcBorders>
              <w:top w:val="single" w:sz="8" w:space="0" w:color="auto"/>
              <w:left w:val="nil"/>
              <w:bottom w:val="single" w:sz="8" w:space="0" w:color="auto"/>
              <w:right w:val="nil"/>
            </w:tcBorders>
            <w:tcMar>
              <w:top w:w="15" w:type="dxa"/>
              <w:left w:w="15" w:type="dxa"/>
              <w:bottom w:w="0" w:type="dxa"/>
              <w:right w:w="15" w:type="dxa"/>
            </w:tcMar>
          </w:tcPr>
          <w:p w14:paraId="2BFC6D2D" w14:textId="77777777" w:rsidR="00327FDD" w:rsidRDefault="00327FDD" w:rsidP="00657E5D">
            <w:pPr>
              <w:jc w:val="both"/>
              <w:rPr>
                <w:rFonts w:ascii="Arial" w:hAnsi="Arial" w:cs="Arial"/>
                <w:b/>
                <w:bCs/>
                <w:sz w:val="20"/>
                <w:szCs w:val="20"/>
              </w:rPr>
            </w:pPr>
          </w:p>
          <w:p w14:paraId="0DF52B1F" w14:textId="77777777" w:rsidR="00327FDD" w:rsidRDefault="00327FDD" w:rsidP="00657E5D">
            <w:pPr>
              <w:jc w:val="both"/>
              <w:rPr>
                <w:rFonts w:ascii="Arial" w:hAnsi="Arial" w:cs="Arial"/>
                <w:b/>
                <w:bCs/>
                <w:sz w:val="20"/>
                <w:szCs w:val="20"/>
              </w:rPr>
            </w:pPr>
          </w:p>
          <w:p w14:paraId="1183FA97" w14:textId="77777777" w:rsidR="00327FDD" w:rsidRDefault="00327FDD" w:rsidP="00657E5D">
            <w:pPr>
              <w:jc w:val="both"/>
              <w:rPr>
                <w:rFonts w:ascii="Arial" w:hAnsi="Arial" w:cs="Arial"/>
                <w:b/>
                <w:bCs/>
                <w:sz w:val="20"/>
                <w:szCs w:val="20"/>
              </w:rPr>
            </w:pPr>
          </w:p>
          <w:p w14:paraId="0F311A6C" w14:textId="77777777" w:rsidR="00327FDD" w:rsidRDefault="00327FDD" w:rsidP="00657E5D">
            <w:pPr>
              <w:jc w:val="both"/>
              <w:rPr>
                <w:rFonts w:ascii="Arial" w:hAnsi="Arial" w:cs="Arial"/>
                <w:b/>
                <w:bCs/>
                <w:sz w:val="20"/>
                <w:szCs w:val="20"/>
              </w:rPr>
            </w:pPr>
          </w:p>
          <w:p w14:paraId="69CF511D" w14:textId="77777777" w:rsidR="00327FDD" w:rsidRDefault="00327FDD" w:rsidP="00657E5D">
            <w:pPr>
              <w:jc w:val="both"/>
              <w:rPr>
                <w:rFonts w:ascii="Arial" w:hAnsi="Arial" w:cs="Arial"/>
                <w:b/>
                <w:bCs/>
                <w:sz w:val="20"/>
                <w:szCs w:val="20"/>
              </w:rPr>
            </w:pPr>
            <w:r>
              <w:rPr>
                <w:rFonts w:ascii="Arial" w:hAnsi="Arial" w:cs="Arial"/>
                <w:b/>
                <w:bCs/>
                <w:sz w:val="20"/>
                <w:szCs w:val="20"/>
              </w:rPr>
              <w:t xml:space="preserve">Notes </w:t>
            </w:r>
          </w:p>
        </w:tc>
        <w:tc>
          <w:tcPr>
            <w:tcW w:w="1471" w:type="dxa"/>
            <w:tcBorders>
              <w:top w:val="single" w:sz="8" w:space="0" w:color="auto"/>
              <w:left w:val="nil"/>
              <w:bottom w:val="single" w:sz="8" w:space="0" w:color="auto"/>
              <w:right w:val="single" w:sz="8" w:space="0" w:color="auto"/>
            </w:tcBorders>
            <w:tcMar>
              <w:top w:w="15" w:type="dxa"/>
              <w:left w:w="15" w:type="dxa"/>
              <w:bottom w:w="0" w:type="dxa"/>
              <w:right w:w="15" w:type="dxa"/>
            </w:tcMar>
          </w:tcPr>
          <w:p w14:paraId="5167A1FF" w14:textId="77777777" w:rsidR="00327FDD" w:rsidRDefault="00327FDD" w:rsidP="00657E5D">
            <w:pPr>
              <w:jc w:val="both"/>
              <w:rPr>
                <w:rFonts w:ascii="Arial" w:hAnsi="Arial" w:cs="Arial"/>
                <w:b/>
                <w:bCs/>
                <w:sz w:val="20"/>
                <w:szCs w:val="20"/>
              </w:rPr>
            </w:pPr>
            <w:r>
              <w:rPr>
                <w:rFonts w:ascii="Arial" w:hAnsi="Arial" w:cs="Arial"/>
                <w:b/>
                <w:bCs/>
                <w:sz w:val="20"/>
                <w:szCs w:val="20"/>
              </w:rPr>
              <w:t>Amount Used in the  USF Supported Areas</w:t>
            </w:r>
          </w:p>
        </w:tc>
      </w:tr>
      <w:tr w:rsidR="00327FDD" w14:paraId="6BC26ACC" w14:textId="77777777">
        <w:trPr>
          <w:trHeight w:val="398"/>
        </w:trPr>
        <w:tc>
          <w:tcPr>
            <w:tcW w:w="253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1B096D" w14:textId="77777777" w:rsidR="00327FDD" w:rsidRDefault="00327FDD" w:rsidP="00657E5D">
            <w:pPr>
              <w:jc w:val="both"/>
              <w:rPr>
                <w:rFonts w:ascii="Arial" w:hAnsi="Arial" w:cs="Arial"/>
                <w:sz w:val="20"/>
                <w:szCs w:val="20"/>
              </w:rPr>
            </w:pPr>
            <w:r>
              <w:rPr>
                <w:rFonts w:ascii="Arial" w:hAnsi="Arial" w:cs="Arial"/>
                <w:sz w:val="20"/>
                <w:szCs w:val="20"/>
              </w:rPr>
              <w:t>A</w:t>
            </w:r>
          </w:p>
        </w:tc>
        <w:tc>
          <w:tcPr>
            <w:tcW w:w="285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1454F93" w14:textId="77777777" w:rsidR="00327FDD" w:rsidRDefault="00327FDD" w:rsidP="00657E5D">
            <w:pPr>
              <w:jc w:val="both"/>
              <w:rPr>
                <w:rFonts w:ascii="Arial" w:hAnsi="Arial" w:cs="Arial"/>
                <w:sz w:val="20"/>
                <w:szCs w:val="20"/>
              </w:rPr>
            </w:pPr>
            <w:r>
              <w:rPr>
                <w:rFonts w:ascii="Arial" w:hAnsi="Arial" w:cs="Arial"/>
                <w:sz w:val="20"/>
                <w:szCs w:val="20"/>
              </w:rPr>
              <w:t>B</w:t>
            </w:r>
          </w:p>
        </w:tc>
        <w:tc>
          <w:tcPr>
            <w:tcW w:w="128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B0A7DFD" w14:textId="77777777" w:rsidR="00327FDD" w:rsidRDefault="00327FDD" w:rsidP="00657E5D">
            <w:pPr>
              <w:jc w:val="both"/>
              <w:rPr>
                <w:rFonts w:ascii="Arial" w:hAnsi="Arial" w:cs="Arial"/>
                <w:sz w:val="20"/>
                <w:szCs w:val="20"/>
              </w:rPr>
            </w:pPr>
            <w:r>
              <w:rPr>
                <w:rFonts w:ascii="Arial" w:hAnsi="Arial" w:cs="Arial"/>
                <w:sz w:val="20"/>
                <w:szCs w:val="20"/>
              </w:rPr>
              <w:t>C</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C90269A" w14:textId="77777777" w:rsidR="00327FDD" w:rsidRDefault="00327FDD" w:rsidP="00657E5D">
            <w:pPr>
              <w:jc w:val="both"/>
              <w:rPr>
                <w:rFonts w:ascii="Arial" w:hAnsi="Arial" w:cs="Arial"/>
                <w:sz w:val="20"/>
                <w:szCs w:val="20"/>
              </w:rPr>
            </w:pPr>
            <w:r>
              <w:rPr>
                <w:rFonts w:ascii="Arial" w:hAnsi="Arial" w:cs="Arial"/>
                <w:sz w:val="20"/>
                <w:szCs w:val="20"/>
              </w:rPr>
              <w:t>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125DE06" w14:textId="77777777" w:rsidR="00327FDD" w:rsidRDefault="00327FDD" w:rsidP="00657E5D">
            <w:pPr>
              <w:jc w:val="both"/>
              <w:rPr>
                <w:rFonts w:ascii="Arial" w:hAnsi="Arial" w:cs="Arial"/>
                <w:sz w:val="20"/>
                <w:szCs w:val="20"/>
              </w:rPr>
            </w:pPr>
            <w:r>
              <w:rPr>
                <w:rFonts w:ascii="Arial" w:hAnsi="Arial" w:cs="Arial"/>
                <w:sz w:val="20"/>
                <w:szCs w:val="20"/>
              </w:rPr>
              <w:t>E</w:t>
            </w:r>
          </w:p>
        </w:tc>
        <w:tc>
          <w:tcPr>
            <w:tcW w:w="147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4C38497" w14:textId="77777777" w:rsidR="00327FDD" w:rsidRDefault="00327FDD" w:rsidP="00657E5D">
            <w:pPr>
              <w:jc w:val="both"/>
              <w:rPr>
                <w:rFonts w:ascii="Arial" w:hAnsi="Arial" w:cs="Arial"/>
                <w:sz w:val="20"/>
                <w:szCs w:val="20"/>
              </w:rPr>
            </w:pPr>
            <w:r>
              <w:rPr>
                <w:rFonts w:ascii="Arial" w:hAnsi="Arial" w:cs="Arial"/>
                <w:sz w:val="20"/>
                <w:szCs w:val="20"/>
              </w:rPr>
              <w:t>F=C</w:t>
            </w:r>
            <w:r w:rsidR="00CA4C27">
              <w:rPr>
                <w:rFonts w:ascii="Arial" w:hAnsi="Arial" w:cs="Arial"/>
                <w:sz w:val="20"/>
                <w:szCs w:val="20"/>
              </w:rPr>
              <w:t xml:space="preserve"> </w:t>
            </w:r>
            <w:r>
              <w:rPr>
                <w:rFonts w:ascii="Arial" w:hAnsi="Arial" w:cs="Arial"/>
                <w:sz w:val="20"/>
                <w:szCs w:val="20"/>
              </w:rPr>
              <w:t>x</w:t>
            </w:r>
            <w:r w:rsidR="00CA4C27">
              <w:rPr>
                <w:rFonts w:ascii="Arial" w:hAnsi="Arial" w:cs="Arial"/>
                <w:sz w:val="20"/>
                <w:szCs w:val="20"/>
              </w:rPr>
              <w:t xml:space="preserve"> </w:t>
            </w:r>
            <w:r>
              <w:rPr>
                <w:rFonts w:ascii="Arial" w:hAnsi="Arial" w:cs="Arial"/>
                <w:sz w:val="20"/>
                <w:szCs w:val="20"/>
              </w:rPr>
              <w:t>D</w:t>
            </w:r>
          </w:p>
        </w:tc>
      </w:tr>
      <w:tr w:rsidR="00327FDD" w14:paraId="5DA995D1" w14:textId="77777777">
        <w:trPr>
          <w:trHeight w:val="765"/>
        </w:trPr>
        <w:tc>
          <w:tcPr>
            <w:tcW w:w="253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C87FB10" w14:textId="77777777" w:rsidR="00327FDD" w:rsidRDefault="00327FDD" w:rsidP="00657E5D">
            <w:pPr>
              <w:jc w:val="both"/>
              <w:rPr>
                <w:rFonts w:ascii="Arial" w:hAnsi="Arial" w:cs="Arial"/>
                <w:i/>
                <w:iCs/>
                <w:sz w:val="20"/>
                <w:szCs w:val="20"/>
              </w:rPr>
            </w:pPr>
            <w:smartTag w:uri="urn:schemas-microsoft-com:office:smarttags" w:element="City">
              <w:smartTag w:uri="urn:schemas-microsoft-com:office:smarttags" w:element="place">
                <w:r>
                  <w:rPr>
                    <w:rFonts w:ascii="Arial" w:hAnsi="Arial" w:cs="Arial"/>
                    <w:i/>
                    <w:iCs/>
                    <w:sz w:val="20"/>
                    <w:szCs w:val="20"/>
                  </w:rPr>
                  <w:t>Buffalo</w:t>
                </w:r>
              </w:smartTag>
            </w:smartTag>
            <w:r>
              <w:rPr>
                <w:rFonts w:ascii="Arial" w:hAnsi="Arial" w:cs="Arial"/>
                <w:i/>
                <w:iCs/>
                <w:sz w:val="20"/>
                <w:szCs w:val="20"/>
              </w:rPr>
              <w:t xml:space="preserve">, </w:t>
            </w:r>
            <w:smartTag w:uri="urn:schemas-microsoft-com:office:smarttags" w:element="City">
              <w:smartTag w:uri="urn:schemas-microsoft-com:office:smarttags" w:element="place">
                <w:r>
                  <w:rPr>
                    <w:rFonts w:ascii="Arial" w:hAnsi="Arial" w:cs="Arial"/>
                    <w:i/>
                    <w:iCs/>
                    <w:sz w:val="20"/>
                    <w:szCs w:val="20"/>
                  </w:rPr>
                  <w:t>Quincy</w:t>
                </w:r>
              </w:smartTag>
            </w:smartTag>
            <w:r w:rsidR="00762B25">
              <w:rPr>
                <w:rFonts w:ascii="Arial" w:hAnsi="Arial" w:cs="Arial"/>
                <w:i/>
                <w:iCs/>
                <w:sz w:val="20"/>
                <w:szCs w:val="20"/>
              </w:rPr>
              <w:t>,</w:t>
            </w:r>
            <w:r>
              <w:rPr>
                <w:rFonts w:ascii="Arial" w:hAnsi="Arial" w:cs="Arial"/>
                <w:i/>
                <w:iCs/>
                <w:sz w:val="20"/>
                <w:szCs w:val="20"/>
              </w:rPr>
              <w:t xml:space="preserve"> </w:t>
            </w:r>
            <w:smartTag w:uri="urn:schemas-microsoft-com:office:smarttags" w:element="City">
              <w:smartTag w:uri="urn:schemas-microsoft-com:office:smarttags" w:element="place">
                <w:r>
                  <w:rPr>
                    <w:rFonts w:ascii="Arial" w:hAnsi="Arial" w:cs="Arial"/>
                    <w:i/>
                    <w:iCs/>
                    <w:sz w:val="20"/>
                    <w:szCs w:val="20"/>
                  </w:rPr>
                  <w:t>Toronto</w:t>
                </w:r>
              </w:smartTag>
            </w:smartTag>
          </w:p>
        </w:tc>
        <w:tc>
          <w:tcPr>
            <w:tcW w:w="285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7B75E78" w14:textId="77777777" w:rsidR="00327FDD" w:rsidRDefault="00327FDD" w:rsidP="00657E5D">
            <w:pPr>
              <w:jc w:val="both"/>
              <w:rPr>
                <w:rFonts w:ascii="Arial" w:hAnsi="Arial" w:cs="Arial"/>
                <w:i/>
                <w:iCs/>
                <w:sz w:val="20"/>
                <w:szCs w:val="20"/>
              </w:rPr>
            </w:pPr>
            <w:r>
              <w:rPr>
                <w:rFonts w:ascii="Arial" w:hAnsi="Arial" w:cs="Arial"/>
                <w:i/>
                <w:iCs/>
                <w:sz w:val="20"/>
                <w:szCs w:val="20"/>
              </w:rPr>
              <w:t>Replaced OSP with digital line carrier and fiber feeder</w:t>
            </w:r>
          </w:p>
        </w:tc>
        <w:tc>
          <w:tcPr>
            <w:tcW w:w="128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AFEA46" w14:textId="77777777" w:rsidR="00327FDD" w:rsidRDefault="00327FDD" w:rsidP="00657E5D">
            <w:pPr>
              <w:jc w:val="both"/>
              <w:rPr>
                <w:rFonts w:ascii="Arial" w:hAnsi="Arial" w:cs="Arial"/>
                <w:i/>
                <w:iCs/>
                <w:sz w:val="20"/>
                <w:szCs w:val="20"/>
              </w:rPr>
            </w:pPr>
            <w:r>
              <w:rPr>
                <w:rFonts w:ascii="Arial" w:hAnsi="Arial" w:cs="Arial"/>
                <w:i/>
                <w:iCs/>
                <w:sz w:val="20"/>
                <w:szCs w:val="20"/>
              </w:rPr>
              <w:t>$1,250,000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7BB609D" w14:textId="77777777" w:rsidR="00327FDD" w:rsidRDefault="00327FDD" w:rsidP="00657E5D">
            <w:pPr>
              <w:jc w:val="both"/>
              <w:rPr>
                <w:rFonts w:ascii="Arial" w:hAnsi="Arial" w:cs="Arial"/>
                <w:i/>
                <w:iCs/>
                <w:sz w:val="20"/>
                <w:szCs w:val="20"/>
              </w:rPr>
            </w:pPr>
            <w:r>
              <w:rPr>
                <w:rFonts w:ascii="Arial" w:hAnsi="Arial" w:cs="Arial"/>
                <w:i/>
                <w:iCs/>
                <w:sz w:val="20"/>
                <w:szCs w:val="20"/>
              </w:rPr>
              <w:t>100%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A763111" w14:textId="77777777" w:rsidR="00327FDD" w:rsidRDefault="00327FDD" w:rsidP="00657E5D">
            <w:pPr>
              <w:jc w:val="both"/>
              <w:rPr>
                <w:rFonts w:ascii="Arial" w:hAnsi="Arial" w:cs="Arial"/>
                <w:i/>
                <w:iCs/>
                <w:sz w:val="20"/>
                <w:szCs w:val="20"/>
              </w:rPr>
            </w:pPr>
            <w:r>
              <w:rPr>
                <w:rFonts w:ascii="Arial" w:hAnsi="Arial" w:cs="Arial"/>
                <w:i/>
                <w:iCs/>
                <w:sz w:val="20"/>
                <w:szCs w:val="20"/>
              </w:rPr>
              <w:t>[1]</w:t>
            </w:r>
          </w:p>
        </w:tc>
        <w:tc>
          <w:tcPr>
            <w:tcW w:w="147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451E56" w14:textId="77777777" w:rsidR="00327FDD" w:rsidRDefault="00327FDD" w:rsidP="00657E5D">
            <w:pPr>
              <w:jc w:val="both"/>
              <w:rPr>
                <w:rFonts w:ascii="Arial" w:hAnsi="Arial" w:cs="Arial"/>
                <w:i/>
                <w:iCs/>
                <w:sz w:val="20"/>
                <w:szCs w:val="20"/>
              </w:rPr>
            </w:pPr>
            <w:r>
              <w:rPr>
                <w:rFonts w:ascii="Arial" w:hAnsi="Arial" w:cs="Arial"/>
                <w:i/>
                <w:iCs/>
                <w:sz w:val="20"/>
                <w:szCs w:val="20"/>
              </w:rPr>
              <w:t>$1,250,000</w:t>
            </w:r>
          </w:p>
        </w:tc>
      </w:tr>
      <w:tr w:rsidR="00327FDD" w14:paraId="6723C9F1" w14:textId="77777777">
        <w:trPr>
          <w:trHeight w:val="765"/>
        </w:trPr>
        <w:tc>
          <w:tcPr>
            <w:tcW w:w="253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DE56531" w14:textId="77777777" w:rsidR="00327FDD" w:rsidRDefault="00327FDD" w:rsidP="00657E5D">
            <w:pPr>
              <w:jc w:val="both"/>
              <w:rPr>
                <w:rFonts w:ascii="Arial" w:hAnsi="Arial" w:cs="Arial"/>
                <w:i/>
                <w:iCs/>
                <w:sz w:val="20"/>
                <w:szCs w:val="20"/>
              </w:rPr>
            </w:pPr>
            <w:r>
              <w:rPr>
                <w:rFonts w:ascii="Arial" w:hAnsi="Arial" w:cs="Arial"/>
                <w:i/>
                <w:iCs/>
                <w:sz w:val="20"/>
                <w:szCs w:val="20"/>
              </w:rPr>
              <w:t>Eureka thru Hamilton, Quincy, Yates C</w:t>
            </w:r>
            <w:r w:rsidR="00175368">
              <w:rPr>
                <w:rFonts w:ascii="Arial" w:hAnsi="Arial" w:cs="Arial"/>
                <w:i/>
                <w:iCs/>
                <w:sz w:val="20"/>
                <w:szCs w:val="20"/>
              </w:rPr>
              <w:t>e</w:t>
            </w:r>
            <w:r>
              <w:rPr>
                <w:rFonts w:ascii="Arial" w:hAnsi="Arial" w:cs="Arial"/>
                <w:i/>
                <w:iCs/>
                <w:sz w:val="20"/>
                <w:szCs w:val="20"/>
              </w:rPr>
              <w:t>nt</w:t>
            </w:r>
            <w:r w:rsidR="00175368">
              <w:rPr>
                <w:rFonts w:ascii="Arial" w:hAnsi="Arial" w:cs="Arial"/>
                <w:i/>
                <w:iCs/>
                <w:sz w:val="20"/>
                <w:szCs w:val="20"/>
              </w:rPr>
              <w:t>e</w:t>
            </w:r>
            <w:r>
              <w:rPr>
                <w:rFonts w:ascii="Arial" w:hAnsi="Arial" w:cs="Arial"/>
                <w:i/>
                <w:iCs/>
                <w:sz w:val="20"/>
                <w:szCs w:val="20"/>
              </w:rPr>
              <w:t xml:space="preserve">r, Chanute, Fredonia, Fall River &amp; serves USF areas: Buffalo, Toronto, Altoona, Benedict, and </w:t>
            </w:r>
            <w:proofErr w:type="spellStart"/>
            <w:r>
              <w:rPr>
                <w:rFonts w:ascii="Arial" w:hAnsi="Arial" w:cs="Arial"/>
                <w:i/>
                <w:iCs/>
                <w:sz w:val="20"/>
                <w:szCs w:val="20"/>
              </w:rPr>
              <w:t>Coyville</w:t>
            </w:r>
            <w:proofErr w:type="spellEnd"/>
            <w:r>
              <w:rPr>
                <w:rFonts w:ascii="Arial" w:hAnsi="Arial" w:cs="Arial"/>
                <w:i/>
                <w:iCs/>
                <w:sz w:val="20"/>
                <w:szCs w:val="20"/>
              </w:rPr>
              <w:t>.</w:t>
            </w:r>
          </w:p>
        </w:tc>
        <w:tc>
          <w:tcPr>
            <w:tcW w:w="285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467E2B6" w14:textId="77777777" w:rsidR="00327FDD" w:rsidRDefault="00327FDD" w:rsidP="00657E5D">
            <w:pPr>
              <w:jc w:val="both"/>
              <w:rPr>
                <w:rFonts w:ascii="Arial" w:hAnsi="Arial" w:cs="Arial"/>
                <w:i/>
                <w:iCs/>
                <w:sz w:val="20"/>
                <w:szCs w:val="20"/>
              </w:rPr>
            </w:pPr>
            <w:r>
              <w:rPr>
                <w:rFonts w:ascii="Arial" w:hAnsi="Arial" w:cs="Arial"/>
                <w:i/>
                <w:iCs/>
                <w:sz w:val="20"/>
                <w:szCs w:val="20"/>
              </w:rPr>
              <w:t xml:space="preserve">Fiber ring from remote terminals to remote switch in </w:t>
            </w:r>
            <w:smartTag w:uri="urn:schemas-microsoft-com:office:smarttags" w:element="City">
              <w:smartTag w:uri="urn:schemas-microsoft-com:office:smarttags" w:element="place">
                <w:r>
                  <w:rPr>
                    <w:rFonts w:ascii="Arial" w:hAnsi="Arial" w:cs="Arial"/>
                    <w:i/>
                    <w:iCs/>
                    <w:sz w:val="20"/>
                    <w:szCs w:val="20"/>
                  </w:rPr>
                  <w:t>Eureka</w:t>
                </w:r>
              </w:smartTag>
            </w:smartTag>
            <w:r>
              <w:rPr>
                <w:rFonts w:ascii="Arial" w:hAnsi="Arial" w:cs="Arial"/>
                <w:i/>
                <w:iCs/>
                <w:sz w:val="20"/>
                <w:szCs w:val="20"/>
              </w:rPr>
              <w:t xml:space="preserve">.  </w:t>
            </w:r>
          </w:p>
        </w:tc>
        <w:tc>
          <w:tcPr>
            <w:tcW w:w="128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0715F1F" w14:textId="77777777" w:rsidR="00327FDD" w:rsidRDefault="00327FDD" w:rsidP="00657E5D">
            <w:pPr>
              <w:jc w:val="both"/>
              <w:rPr>
                <w:rFonts w:ascii="Arial" w:hAnsi="Arial" w:cs="Arial"/>
                <w:i/>
                <w:iCs/>
                <w:sz w:val="20"/>
                <w:szCs w:val="20"/>
              </w:rPr>
            </w:pPr>
            <w:r>
              <w:rPr>
                <w:rFonts w:ascii="Arial" w:hAnsi="Arial" w:cs="Arial"/>
                <w:i/>
                <w:iCs/>
                <w:sz w:val="20"/>
                <w:szCs w:val="20"/>
              </w:rPr>
              <w:t>$800,000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85AFD9B" w14:textId="77777777" w:rsidR="00327FDD" w:rsidRDefault="00327FDD" w:rsidP="00657E5D">
            <w:pPr>
              <w:jc w:val="both"/>
              <w:rPr>
                <w:rFonts w:ascii="Arial" w:hAnsi="Arial" w:cs="Arial"/>
                <w:i/>
                <w:iCs/>
                <w:sz w:val="20"/>
                <w:szCs w:val="20"/>
              </w:rPr>
            </w:pPr>
            <w:r>
              <w:rPr>
                <w:rFonts w:ascii="Arial" w:hAnsi="Arial" w:cs="Arial"/>
                <w:i/>
                <w:iCs/>
                <w:sz w:val="20"/>
                <w:szCs w:val="20"/>
              </w:rPr>
              <w:t>50%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5BFF8E0" w14:textId="77777777" w:rsidR="00327FDD" w:rsidRDefault="00327FDD" w:rsidP="00657E5D">
            <w:pPr>
              <w:jc w:val="both"/>
              <w:rPr>
                <w:rFonts w:ascii="Arial" w:hAnsi="Arial" w:cs="Arial"/>
                <w:i/>
                <w:iCs/>
                <w:sz w:val="20"/>
                <w:szCs w:val="20"/>
              </w:rPr>
            </w:pPr>
            <w:r>
              <w:rPr>
                <w:rFonts w:ascii="Arial" w:hAnsi="Arial" w:cs="Arial"/>
                <w:i/>
                <w:iCs/>
                <w:sz w:val="20"/>
                <w:szCs w:val="20"/>
              </w:rPr>
              <w:t>[2]</w:t>
            </w:r>
          </w:p>
        </w:tc>
        <w:tc>
          <w:tcPr>
            <w:tcW w:w="147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BB93D8" w14:textId="77777777" w:rsidR="00327FDD" w:rsidRDefault="00327FDD" w:rsidP="00657E5D">
            <w:pPr>
              <w:jc w:val="both"/>
              <w:rPr>
                <w:rFonts w:ascii="Arial" w:hAnsi="Arial" w:cs="Arial"/>
                <w:i/>
                <w:iCs/>
                <w:sz w:val="20"/>
                <w:szCs w:val="20"/>
              </w:rPr>
            </w:pPr>
            <w:r>
              <w:rPr>
                <w:rFonts w:ascii="Arial" w:hAnsi="Arial" w:cs="Arial"/>
                <w:i/>
                <w:iCs/>
                <w:sz w:val="20"/>
                <w:szCs w:val="20"/>
              </w:rPr>
              <w:t>$400,000</w:t>
            </w:r>
          </w:p>
        </w:tc>
      </w:tr>
      <w:tr w:rsidR="00327FDD" w14:paraId="725CF921" w14:textId="77777777">
        <w:trPr>
          <w:trHeight w:val="308"/>
        </w:trPr>
        <w:tc>
          <w:tcPr>
            <w:tcW w:w="253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30701C8" w14:textId="77777777" w:rsidR="00327FDD" w:rsidRDefault="00327FDD" w:rsidP="00657E5D">
            <w:pPr>
              <w:pStyle w:val="Heading3"/>
              <w:jc w:val="both"/>
            </w:pPr>
            <w:r>
              <w:t>TOTAL</w:t>
            </w:r>
          </w:p>
        </w:tc>
        <w:tc>
          <w:tcPr>
            <w:tcW w:w="285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EDC50B1" w14:textId="77777777" w:rsidR="00327FDD" w:rsidRDefault="00327FDD" w:rsidP="00657E5D">
            <w:pPr>
              <w:jc w:val="both"/>
              <w:rPr>
                <w:rFonts w:ascii="Arial" w:hAnsi="Arial" w:cs="Arial"/>
                <w:i/>
                <w:iCs/>
                <w:sz w:val="20"/>
                <w:szCs w:val="20"/>
              </w:rPr>
            </w:pPr>
          </w:p>
        </w:tc>
        <w:tc>
          <w:tcPr>
            <w:tcW w:w="128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5105385" w14:textId="77777777" w:rsidR="00327FDD" w:rsidRDefault="00327FDD" w:rsidP="00657E5D">
            <w:pPr>
              <w:jc w:val="both"/>
              <w:rPr>
                <w:rFonts w:ascii="Arial" w:hAnsi="Arial" w:cs="Arial"/>
                <w:i/>
                <w:iCs/>
                <w:sz w:val="20"/>
                <w:szCs w:val="20"/>
              </w:rPr>
            </w:pPr>
            <w:r>
              <w:rPr>
                <w:rFonts w:ascii="Arial" w:hAnsi="Arial" w:cs="Arial"/>
                <w:i/>
                <w:iCs/>
                <w:sz w:val="20"/>
                <w:szCs w:val="20"/>
              </w:rPr>
              <w:t>$2,050,000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E60D827" w14:textId="77777777" w:rsidR="00327FDD" w:rsidRDefault="00327FDD" w:rsidP="00657E5D">
            <w:pPr>
              <w:jc w:val="both"/>
              <w:rPr>
                <w:rFonts w:ascii="Arial" w:hAnsi="Arial" w:cs="Arial"/>
                <w:i/>
                <w:iCs/>
                <w:sz w:val="20"/>
                <w:szCs w:val="20"/>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4512AE8" w14:textId="77777777" w:rsidR="00327FDD" w:rsidRDefault="00327FDD" w:rsidP="00657E5D">
            <w:pPr>
              <w:jc w:val="both"/>
              <w:rPr>
                <w:rFonts w:ascii="Arial" w:hAnsi="Arial" w:cs="Arial"/>
                <w:i/>
                <w:iCs/>
                <w:sz w:val="20"/>
                <w:szCs w:val="20"/>
              </w:rPr>
            </w:pPr>
          </w:p>
        </w:tc>
        <w:tc>
          <w:tcPr>
            <w:tcW w:w="147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8E7DED8" w14:textId="77777777" w:rsidR="00327FDD" w:rsidRDefault="00327FDD" w:rsidP="00657E5D">
            <w:pPr>
              <w:jc w:val="both"/>
              <w:rPr>
                <w:rFonts w:ascii="Arial" w:hAnsi="Arial" w:cs="Arial"/>
                <w:i/>
                <w:iCs/>
                <w:sz w:val="20"/>
                <w:szCs w:val="20"/>
              </w:rPr>
            </w:pPr>
            <w:r>
              <w:rPr>
                <w:rFonts w:ascii="Arial" w:hAnsi="Arial" w:cs="Arial"/>
                <w:i/>
                <w:iCs/>
                <w:sz w:val="20"/>
                <w:szCs w:val="20"/>
              </w:rPr>
              <w:t>$1,650,000</w:t>
            </w:r>
          </w:p>
        </w:tc>
      </w:tr>
      <w:tr w:rsidR="000B680E" w14:paraId="74B357A8" w14:textId="77777777" w:rsidTr="006757B0">
        <w:trPr>
          <w:trHeight w:val="129"/>
        </w:trPr>
        <w:tc>
          <w:tcPr>
            <w:tcW w:w="2535" w:type="dxa"/>
            <w:gridSpan w:val="3"/>
            <w:tcBorders>
              <w:top w:val="nil"/>
              <w:left w:val="nil"/>
              <w:bottom w:val="nil"/>
              <w:right w:val="nil"/>
            </w:tcBorders>
            <w:noWrap/>
            <w:tcMar>
              <w:top w:w="15" w:type="dxa"/>
              <w:left w:w="15" w:type="dxa"/>
              <w:bottom w:w="0" w:type="dxa"/>
              <w:right w:w="15" w:type="dxa"/>
            </w:tcMar>
          </w:tcPr>
          <w:p w14:paraId="73CE6025" w14:textId="77777777" w:rsidR="000B680E" w:rsidRDefault="000B680E" w:rsidP="00657E5D">
            <w:pPr>
              <w:jc w:val="both"/>
              <w:rPr>
                <w:rFonts w:ascii="Arial" w:hAnsi="Arial" w:cs="Arial"/>
                <w:sz w:val="20"/>
                <w:szCs w:val="20"/>
              </w:rPr>
            </w:pPr>
            <w:r>
              <w:rPr>
                <w:rFonts w:ascii="Arial" w:hAnsi="Arial" w:cs="Arial"/>
                <w:b/>
                <w:bCs/>
                <w:sz w:val="20"/>
                <w:szCs w:val="20"/>
              </w:rPr>
              <w:t xml:space="preserve">NOTES </w:t>
            </w:r>
          </w:p>
        </w:tc>
        <w:tc>
          <w:tcPr>
            <w:tcW w:w="2858" w:type="dxa"/>
            <w:tcBorders>
              <w:top w:val="nil"/>
              <w:left w:val="nil"/>
              <w:bottom w:val="nil"/>
              <w:right w:val="nil"/>
            </w:tcBorders>
            <w:noWrap/>
            <w:tcMar>
              <w:top w:w="15" w:type="dxa"/>
              <w:left w:w="15" w:type="dxa"/>
              <w:bottom w:w="0" w:type="dxa"/>
              <w:right w:w="15" w:type="dxa"/>
            </w:tcMar>
            <w:vAlign w:val="bottom"/>
          </w:tcPr>
          <w:p w14:paraId="4F4B60B4" w14:textId="77777777" w:rsidR="000B680E" w:rsidRDefault="000B680E" w:rsidP="00657E5D">
            <w:pPr>
              <w:jc w:val="both"/>
              <w:rPr>
                <w:rFonts w:ascii="Arial" w:hAnsi="Arial" w:cs="Arial"/>
                <w:sz w:val="20"/>
                <w:szCs w:val="20"/>
              </w:rPr>
            </w:pPr>
          </w:p>
        </w:tc>
        <w:tc>
          <w:tcPr>
            <w:tcW w:w="1282" w:type="dxa"/>
            <w:tcBorders>
              <w:top w:val="nil"/>
              <w:left w:val="nil"/>
              <w:bottom w:val="nil"/>
              <w:right w:val="nil"/>
            </w:tcBorders>
            <w:tcMar>
              <w:top w:w="15" w:type="dxa"/>
              <w:left w:w="15" w:type="dxa"/>
              <w:bottom w:w="0" w:type="dxa"/>
              <w:right w:w="15" w:type="dxa"/>
            </w:tcMar>
            <w:vAlign w:val="bottom"/>
          </w:tcPr>
          <w:p w14:paraId="19C9BD93" w14:textId="77777777" w:rsidR="000B680E" w:rsidRDefault="000B680E"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6B7A5E42" w14:textId="77777777" w:rsidR="000B680E" w:rsidRDefault="000B680E"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507EEA1C" w14:textId="77777777" w:rsidR="000B680E" w:rsidRDefault="000B680E" w:rsidP="00657E5D">
            <w:pPr>
              <w:jc w:val="both"/>
              <w:rPr>
                <w:rFonts w:ascii="Arial" w:hAnsi="Arial" w:cs="Arial"/>
                <w:sz w:val="20"/>
                <w:szCs w:val="20"/>
              </w:rPr>
            </w:pPr>
          </w:p>
        </w:tc>
        <w:tc>
          <w:tcPr>
            <w:tcW w:w="1471" w:type="dxa"/>
            <w:tcBorders>
              <w:top w:val="nil"/>
              <w:left w:val="nil"/>
              <w:bottom w:val="nil"/>
              <w:right w:val="nil"/>
            </w:tcBorders>
            <w:tcMar>
              <w:top w:w="15" w:type="dxa"/>
              <w:left w:w="15" w:type="dxa"/>
              <w:bottom w:w="0" w:type="dxa"/>
              <w:right w:w="15" w:type="dxa"/>
            </w:tcMar>
            <w:vAlign w:val="bottom"/>
          </w:tcPr>
          <w:p w14:paraId="2FE80FCF" w14:textId="77777777" w:rsidR="000B680E" w:rsidRDefault="000B680E" w:rsidP="00657E5D">
            <w:pPr>
              <w:jc w:val="both"/>
              <w:rPr>
                <w:rFonts w:ascii="Arial" w:hAnsi="Arial" w:cs="Arial"/>
                <w:sz w:val="20"/>
                <w:szCs w:val="20"/>
              </w:rPr>
            </w:pPr>
          </w:p>
        </w:tc>
      </w:tr>
      <w:tr w:rsidR="000B680E" w14:paraId="79CFDFB4" w14:textId="77777777">
        <w:trPr>
          <w:trHeight w:val="255"/>
        </w:trPr>
        <w:tc>
          <w:tcPr>
            <w:tcW w:w="5393" w:type="dxa"/>
            <w:gridSpan w:val="4"/>
            <w:tcBorders>
              <w:top w:val="nil"/>
              <w:left w:val="nil"/>
              <w:bottom w:val="nil"/>
              <w:right w:val="nil"/>
            </w:tcBorders>
            <w:noWrap/>
            <w:tcMar>
              <w:top w:w="15" w:type="dxa"/>
              <w:left w:w="15" w:type="dxa"/>
              <w:bottom w:w="0" w:type="dxa"/>
              <w:right w:w="15" w:type="dxa"/>
            </w:tcMar>
          </w:tcPr>
          <w:p w14:paraId="1F36B19C" w14:textId="77777777" w:rsidR="000B680E" w:rsidRPr="00BE6EC2" w:rsidRDefault="000B680E" w:rsidP="000B680E">
            <w:pPr>
              <w:rPr>
                <w:sz w:val="20"/>
              </w:rPr>
            </w:pPr>
            <w:r w:rsidRPr="00BE6EC2">
              <w:rPr>
                <w:sz w:val="20"/>
              </w:rPr>
              <w:t xml:space="preserve">[1] All </w:t>
            </w:r>
            <w:r>
              <w:rPr>
                <w:sz w:val="20"/>
              </w:rPr>
              <w:t xml:space="preserve">of </w:t>
            </w:r>
            <w:r w:rsidRPr="00BE6EC2">
              <w:rPr>
                <w:sz w:val="20"/>
              </w:rPr>
              <w:t>the exchanges in this project are USF supported.</w:t>
            </w:r>
          </w:p>
          <w:p w14:paraId="10485E9A" w14:textId="77777777" w:rsidR="000B680E" w:rsidRPr="00BE6EC2" w:rsidRDefault="000B680E" w:rsidP="000B680E">
            <w:pPr>
              <w:rPr>
                <w:sz w:val="20"/>
                <w:szCs w:val="20"/>
              </w:rPr>
            </w:pPr>
            <w:r w:rsidRPr="00BE6EC2">
              <w:rPr>
                <w:sz w:val="20"/>
                <w:szCs w:val="20"/>
              </w:rPr>
              <w:t xml:space="preserve">[2] Percent of lines served by the fiber ring in the USF supported exchanges.  </w:t>
            </w:r>
          </w:p>
          <w:p w14:paraId="436204E0" w14:textId="77777777" w:rsidR="000B680E" w:rsidRDefault="000B680E" w:rsidP="000B680E">
            <w:pPr>
              <w:rPr>
                <w:rFonts w:ascii="Arial" w:hAnsi="Arial" w:cs="Arial"/>
                <w:b/>
                <w:bCs/>
                <w:sz w:val="20"/>
                <w:szCs w:val="20"/>
              </w:rPr>
            </w:pPr>
          </w:p>
        </w:tc>
        <w:tc>
          <w:tcPr>
            <w:tcW w:w="1282" w:type="dxa"/>
            <w:tcBorders>
              <w:top w:val="nil"/>
              <w:left w:val="nil"/>
              <w:bottom w:val="nil"/>
              <w:right w:val="nil"/>
            </w:tcBorders>
            <w:tcMar>
              <w:top w:w="15" w:type="dxa"/>
              <w:left w:w="15" w:type="dxa"/>
              <w:bottom w:w="0" w:type="dxa"/>
              <w:right w:w="15" w:type="dxa"/>
            </w:tcMar>
            <w:vAlign w:val="bottom"/>
          </w:tcPr>
          <w:p w14:paraId="2261D16E" w14:textId="77777777" w:rsidR="000B680E" w:rsidRDefault="000B680E" w:rsidP="000B680E">
            <w:pPr>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1DAC2A73" w14:textId="77777777" w:rsidR="000B680E" w:rsidRDefault="000B680E" w:rsidP="00657E5D">
            <w:pPr>
              <w:jc w:val="both"/>
              <w:rPr>
                <w:rFonts w:ascii="Arial" w:hAnsi="Arial" w:cs="Arial"/>
                <w:sz w:val="20"/>
                <w:szCs w:val="20"/>
              </w:rPr>
            </w:pPr>
          </w:p>
        </w:tc>
        <w:tc>
          <w:tcPr>
            <w:tcW w:w="1080" w:type="dxa"/>
            <w:tcBorders>
              <w:top w:val="nil"/>
              <w:left w:val="nil"/>
              <w:bottom w:val="nil"/>
              <w:right w:val="nil"/>
            </w:tcBorders>
            <w:noWrap/>
            <w:tcMar>
              <w:top w:w="15" w:type="dxa"/>
              <w:left w:w="15" w:type="dxa"/>
              <w:bottom w:w="0" w:type="dxa"/>
              <w:right w:w="15" w:type="dxa"/>
            </w:tcMar>
          </w:tcPr>
          <w:p w14:paraId="70E54E2C" w14:textId="77777777" w:rsidR="000B680E" w:rsidRDefault="000B680E" w:rsidP="00657E5D">
            <w:pPr>
              <w:jc w:val="both"/>
              <w:rPr>
                <w:rFonts w:ascii="Arial" w:hAnsi="Arial" w:cs="Arial"/>
                <w:sz w:val="20"/>
                <w:szCs w:val="20"/>
              </w:rPr>
            </w:pPr>
          </w:p>
        </w:tc>
        <w:tc>
          <w:tcPr>
            <w:tcW w:w="1471" w:type="dxa"/>
            <w:tcBorders>
              <w:top w:val="nil"/>
              <w:left w:val="nil"/>
              <w:bottom w:val="nil"/>
              <w:right w:val="nil"/>
            </w:tcBorders>
            <w:tcMar>
              <w:top w:w="15" w:type="dxa"/>
              <w:left w:w="15" w:type="dxa"/>
              <w:bottom w:w="0" w:type="dxa"/>
              <w:right w:w="15" w:type="dxa"/>
            </w:tcMar>
            <w:vAlign w:val="bottom"/>
          </w:tcPr>
          <w:p w14:paraId="27F4EA5E" w14:textId="77777777" w:rsidR="000B680E" w:rsidRDefault="000B680E" w:rsidP="00657E5D">
            <w:pPr>
              <w:jc w:val="both"/>
              <w:rPr>
                <w:rFonts w:ascii="Arial" w:hAnsi="Arial" w:cs="Arial"/>
                <w:sz w:val="20"/>
                <w:szCs w:val="20"/>
              </w:rPr>
            </w:pPr>
          </w:p>
        </w:tc>
      </w:tr>
    </w:tbl>
    <w:p w14:paraId="36C5E823" w14:textId="77777777" w:rsidR="00327FDD" w:rsidRDefault="00327FDD" w:rsidP="00657E5D">
      <w:pPr>
        <w:pStyle w:val="BodyTextIndent"/>
        <w:ind w:left="0"/>
        <w:jc w:val="both"/>
      </w:pPr>
      <w:r>
        <w:t xml:space="preserve">The objective of this report is to identify that new investment is being spent to benefit supported areas.  Listing individual exchanges that will benefit will help meet this purpose.  </w:t>
      </w:r>
    </w:p>
    <w:p w14:paraId="61676858" w14:textId="77777777" w:rsidR="00327FDD" w:rsidRDefault="00327FDD" w:rsidP="00657E5D">
      <w:pPr>
        <w:jc w:val="both"/>
      </w:pPr>
    </w:p>
    <w:p w14:paraId="571AEBCF" w14:textId="77777777" w:rsidR="00327FDD" w:rsidRDefault="00327FDD" w:rsidP="00657E5D">
      <w:pPr>
        <w:ind w:left="720"/>
        <w:jc w:val="both"/>
      </w:pPr>
      <w:r w:rsidRPr="00DB1C6B">
        <w:rPr>
          <w:u w:val="single"/>
        </w:rPr>
        <w:lastRenderedPageBreak/>
        <w:t>b.</w:t>
      </w:r>
      <w:r w:rsidR="002352B7">
        <w:rPr>
          <w:u w:val="single"/>
        </w:rPr>
        <w:t xml:space="preserve"> </w:t>
      </w:r>
      <w:r w:rsidRPr="00DB1C6B">
        <w:rPr>
          <w:bCs/>
          <w:u w:val="single"/>
        </w:rPr>
        <w:t>Threshold</w:t>
      </w:r>
      <w:r>
        <w:rPr>
          <w:b/>
          <w:bCs/>
        </w:rPr>
        <w:t xml:space="preserve"> </w:t>
      </w:r>
      <w:r>
        <w:t xml:space="preserve">- For companies spending less than $10M in new projects in </w:t>
      </w:r>
      <w:smartTag w:uri="urn:schemas-microsoft-com:office:smarttags" w:element="State">
        <w:smartTag w:uri="urn:schemas-microsoft-com:office:smarttags" w:element="place">
          <w:r>
            <w:t>Kansas</w:t>
          </w:r>
        </w:smartTag>
      </w:smartTag>
      <w:r>
        <w:t xml:space="preserve">, use $200,000 as the project threshold.  For companies spending $10M or more, use $500,000 as the project threshold.  It is acceptable to provide more detail than the threshold requires if it helps identify which supported areas are receiving benefit.  </w:t>
      </w:r>
    </w:p>
    <w:p w14:paraId="3ED536FF" w14:textId="77777777" w:rsidR="00805BC7" w:rsidRPr="00805BC7" w:rsidRDefault="00264795" w:rsidP="006106A9">
      <w:pPr>
        <w:pStyle w:val="BodyTextIndent"/>
        <w:tabs>
          <w:tab w:val="left" w:pos="360"/>
        </w:tabs>
        <w:spacing w:before="240"/>
        <w:ind w:left="360" w:hanging="360"/>
        <w:jc w:val="both"/>
        <w:rPr>
          <w:b/>
        </w:rPr>
      </w:pPr>
      <w:r>
        <w:rPr>
          <w:b/>
        </w:rPr>
        <w:t>5</w:t>
      </w:r>
      <w:r w:rsidR="00327FDD">
        <w:rPr>
          <w:b/>
        </w:rPr>
        <w:t xml:space="preserve">.  </w:t>
      </w:r>
      <w:r w:rsidR="00E73CBF">
        <w:rPr>
          <w:b/>
        </w:rPr>
        <w:tab/>
      </w:r>
      <w:r w:rsidR="00327FDD">
        <w:rPr>
          <w:b/>
        </w:rPr>
        <w:t xml:space="preserve">Attachment 5 - </w:t>
      </w:r>
      <w:r w:rsidR="00805BC7" w:rsidRPr="008B3602">
        <w:rPr>
          <w:b/>
        </w:rPr>
        <w:t>Annual Certification of Requirements Imposed by the Commission in Docket Number 06-GIMT-446-GIT</w:t>
      </w:r>
      <w:r w:rsidR="00BB1D39" w:rsidRPr="008B3602">
        <w:rPr>
          <w:b/>
        </w:rPr>
        <w:t>.</w:t>
      </w:r>
    </w:p>
    <w:p w14:paraId="14ABA377" w14:textId="77777777" w:rsidR="007B7434" w:rsidRPr="008F262A" w:rsidRDefault="00805BC7" w:rsidP="006106A9">
      <w:pPr>
        <w:pStyle w:val="BodyTextIndent"/>
        <w:spacing w:before="240"/>
        <w:ind w:left="720"/>
        <w:jc w:val="both"/>
        <w:rPr>
          <w:b/>
        </w:rPr>
      </w:pPr>
      <w:r w:rsidRPr="002760D4">
        <w:t xml:space="preserve">Provide the information requested on the </w:t>
      </w:r>
      <w:r w:rsidR="006106A9">
        <w:t>A</w:t>
      </w:r>
      <w:r w:rsidRPr="002760D4">
        <w:t>ttachment</w:t>
      </w:r>
      <w:r w:rsidR="006106A9">
        <w:t>.  A</w:t>
      </w:r>
      <w:r w:rsidRPr="002760D4">
        <w:t>ttach additional pages, as necessary.</w:t>
      </w:r>
      <w:r w:rsidR="00124623">
        <w:t xml:space="preserve">  All ETCs must complete Questions 1-6.  Only Competitive ETCs need to complete Question 7. </w:t>
      </w:r>
      <w:r w:rsidR="007B7434">
        <w:t xml:space="preserve">  </w:t>
      </w:r>
      <w:r w:rsidR="007B7434" w:rsidRPr="008F262A">
        <w:rPr>
          <w:b/>
        </w:rPr>
        <w:t>If the answer to a question is zero, please report zero and not N/A.</w:t>
      </w:r>
    </w:p>
    <w:p w14:paraId="17AAC301" w14:textId="77777777" w:rsidR="00EC480B" w:rsidRDefault="00EC480B" w:rsidP="00657E5D">
      <w:pPr>
        <w:pStyle w:val="BodyTextIndent"/>
        <w:ind w:left="720"/>
        <w:jc w:val="both"/>
      </w:pPr>
    </w:p>
    <w:p w14:paraId="0D07CEBD" w14:textId="77777777" w:rsidR="00805BC7" w:rsidRPr="008B3602" w:rsidRDefault="00805BC7" w:rsidP="00657E5D">
      <w:pPr>
        <w:pStyle w:val="BodyTextIndent"/>
        <w:ind w:left="720"/>
        <w:jc w:val="both"/>
        <w:rPr>
          <w:highlight w:val="yellow"/>
        </w:rPr>
      </w:pPr>
    </w:p>
    <w:sectPr w:rsidR="00805BC7" w:rsidRPr="008B3602" w:rsidSect="003B0369">
      <w:headerReference w:type="default" r:id="rId10"/>
      <w:footerReference w:type="default" r:id="rId11"/>
      <w:pgSz w:w="12240" w:h="15840" w:code="1"/>
      <w:pgMar w:top="864" w:right="1800"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F54C4" w14:textId="77777777" w:rsidR="00F80761" w:rsidRDefault="00F80761" w:rsidP="00264795">
      <w:r>
        <w:separator/>
      </w:r>
    </w:p>
  </w:endnote>
  <w:endnote w:type="continuationSeparator" w:id="0">
    <w:p w14:paraId="3CDFE8A1" w14:textId="77777777" w:rsidR="00F80761" w:rsidRDefault="00F80761" w:rsidP="0026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8855861"/>
      <w:docPartObj>
        <w:docPartGallery w:val="Page Numbers (Bottom of Page)"/>
        <w:docPartUnique/>
      </w:docPartObj>
    </w:sdtPr>
    <w:sdtEndPr>
      <w:rPr>
        <w:noProof/>
      </w:rPr>
    </w:sdtEndPr>
    <w:sdtContent>
      <w:p w14:paraId="646D9A90" w14:textId="77777777" w:rsidR="00322ED3" w:rsidRDefault="00322ED3">
        <w:pPr>
          <w:pStyle w:val="Footer"/>
          <w:jc w:val="center"/>
        </w:pPr>
        <w:r>
          <w:fldChar w:fldCharType="begin"/>
        </w:r>
        <w:r>
          <w:instrText xml:space="preserve"> PAGE   \* MERGEFORMAT </w:instrText>
        </w:r>
        <w:r>
          <w:fldChar w:fldCharType="separate"/>
        </w:r>
        <w:r w:rsidR="001D39AB">
          <w:rPr>
            <w:noProof/>
          </w:rPr>
          <w:t>4</w:t>
        </w:r>
        <w:r>
          <w:rPr>
            <w:noProof/>
          </w:rPr>
          <w:fldChar w:fldCharType="end"/>
        </w:r>
      </w:p>
    </w:sdtContent>
  </w:sdt>
  <w:p w14:paraId="5BCF6B64" w14:textId="77777777" w:rsidR="00237E3F" w:rsidRDefault="00237E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F7AD2" w14:textId="77777777" w:rsidR="00F80761" w:rsidRDefault="00F80761" w:rsidP="00264795">
      <w:r>
        <w:separator/>
      </w:r>
    </w:p>
  </w:footnote>
  <w:footnote w:type="continuationSeparator" w:id="0">
    <w:p w14:paraId="6B6FAFC5" w14:textId="77777777" w:rsidR="00F80761" w:rsidRDefault="00F80761" w:rsidP="00264795">
      <w:r>
        <w:continuationSeparator/>
      </w:r>
    </w:p>
  </w:footnote>
  <w:footnote w:id="1">
    <w:p w14:paraId="273492C7" w14:textId="77777777" w:rsidR="00237E3F" w:rsidRDefault="00237E3F" w:rsidP="005F40BA">
      <w:pPr>
        <w:pStyle w:val="FootnoteText"/>
        <w:ind w:left="0" w:firstLine="0"/>
      </w:pPr>
      <w:r>
        <w:rPr>
          <w:rStyle w:val="FootnoteReference"/>
          <w:rFonts w:ascii="Times New Roman" w:hAnsi="Times New Roman"/>
        </w:rPr>
        <w:footnoteRef/>
      </w:r>
      <w:r>
        <w:rPr>
          <w:rFonts w:ascii="Times New Roman" w:hAnsi="Times New Roman"/>
        </w:rPr>
        <w:t xml:space="preserve"> Per 47 C.F.R. § 54.314, federal USF support, "will be used only for the provision, maintenance, and upgrading of facilities and services for which the support is intended."  If investments or expenses are for service areas larger than the supported service areas, then </w:t>
      </w:r>
      <w:r w:rsidR="00E87B8F">
        <w:rPr>
          <w:rFonts w:ascii="Times New Roman" w:hAnsi="Times New Roman"/>
        </w:rPr>
        <w:t>allocations of the expenditures are</w:t>
      </w:r>
      <w:r>
        <w:rPr>
          <w:rFonts w:ascii="Times New Roman" w:hAnsi="Times New Roman"/>
        </w:rPr>
        <w:t xml:space="preserve"> required.  See 2c Allocation Methods.</w:t>
      </w:r>
    </w:p>
  </w:footnote>
  <w:footnote w:id="2">
    <w:p w14:paraId="26EFB0E4" w14:textId="77777777" w:rsidR="00237E3F" w:rsidRDefault="00237E3F" w:rsidP="00E87B8F">
      <w:pPr>
        <w:pStyle w:val="FootnoteText"/>
        <w:ind w:left="0" w:firstLine="0"/>
        <w:jc w:val="left"/>
      </w:pPr>
      <w:r>
        <w:rPr>
          <w:rStyle w:val="FootnoteReference"/>
          <w:rFonts w:ascii="Times New Roman" w:hAnsi="Times New Roman"/>
        </w:rPr>
        <w:footnoteRef/>
      </w:r>
      <w:r w:rsidR="00400B0D" w:rsidRPr="005F40BA">
        <w:rPr>
          <w:rFonts w:ascii="Times New Roman" w:hAnsi="Times New Roman"/>
          <w:i/>
        </w:rPr>
        <w:t>Ibid</w:t>
      </w:r>
      <w:r w:rsidR="00400B0D">
        <w:rPr>
          <w:rFonts w:ascii="Times New Roman" w:hAnsi="Times New Roman"/>
        </w:rPr>
        <w:t xml:space="preserve">. </w:t>
      </w:r>
    </w:p>
  </w:footnote>
  <w:footnote w:id="3">
    <w:p w14:paraId="5461D113" w14:textId="77777777" w:rsidR="00237E3F" w:rsidRDefault="00237E3F" w:rsidP="00E87B8F">
      <w:pPr>
        <w:pStyle w:val="FootnoteText"/>
        <w:ind w:left="0" w:firstLine="0"/>
      </w:pPr>
      <w:r>
        <w:rPr>
          <w:rStyle w:val="FootnoteReference"/>
        </w:rPr>
        <w:footnoteRef/>
      </w:r>
      <w:r>
        <w:t xml:space="preserve">  </w:t>
      </w:r>
      <w:r>
        <w:rPr>
          <w:rFonts w:ascii="Times New Roman" w:hAnsi="Times New Roman"/>
        </w:rPr>
        <w:t>A smart remote with stand-alone capability is one that can still provide local calling even if its link to the host switch is severed.</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6A178" w14:textId="1A68EB22" w:rsidR="00540B7F" w:rsidRDefault="00A04981">
    <w:pPr>
      <w:pStyle w:val="Header"/>
      <w:jc w:val="right"/>
      <w:rPr>
        <w:b/>
      </w:rPr>
    </w:pPr>
    <w:r>
      <w:rPr>
        <w:b/>
      </w:rPr>
      <w:t>25</w:t>
    </w:r>
    <w:r w:rsidR="00540B7F">
      <w:rPr>
        <w:b/>
      </w:rPr>
      <w:t>-GIMT-</w:t>
    </w:r>
    <w:r>
      <w:rPr>
        <w:b/>
      </w:rPr>
      <w:t>332</w:t>
    </w:r>
    <w:r w:rsidR="00540B7F">
      <w:rPr>
        <w:b/>
      </w:rPr>
      <w:t>-GIT</w:t>
    </w:r>
  </w:p>
  <w:p w14:paraId="557D6504" w14:textId="77777777" w:rsidR="00237E3F" w:rsidRDefault="00237E3F">
    <w:pPr>
      <w:pStyle w:val="Header"/>
      <w:jc w:val="right"/>
      <w:rPr>
        <w:b/>
      </w:rPr>
    </w:pPr>
    <w:r>
      <w:rPr>
        <w:b/>
      </w:rPr>
      <w:t xml:space="preserve">Attachment </w:t>
    </w:r>
    <w:r w:rsidR="004A0DA3">
      <w:rPr>
        <w:b/>
      </w:rPr>
      <w:t>6</w:t>
    </w:r>
  </w:p>
  <w:p w14:paraId="46991DEC" w14:textId="77777777" w:rsidR="00237E3F" w:rsidRPr="003233C1" w:rsidRDefault="00237E3F">
    <w:pPr>
      <w:pStyle w:val="Header"/>
      <w:jc w:val="center"/>
      <w:rPr>
        <w:sz w:val="28"/>
        <w:szCs w:val="28"/>
      </w:rPr>
    </w:pPr>
    <w:r w:rsidRPr="003233C1">
      <w:rPr>
        <w:sz w:val="28"/>
        <w:szCs w:val="28"/>
      </w:rPr>
      <w:t>Kansas Corporation Commission</w:t>
    </w:r>
  </w:p>
  <w:p w14:paraId="7B1DCDE8" w14:textId="77777777" w:rsidR="00237E3F" w:rsidRPr="003233C1" w:rsidRDefault="003233C1">
    <w:pPr>
      <w:pStyle w:val="Header"/>
      <w:jc w:val="center"/>
      <w:rPr>
        <w:sz w:val="28"/>
        <w:szCs w:val="28"/>
      </w:rPr>
    </w:pPr>
    <w:r w:rsidRPr="003233C1">
      <w:rPr>
        <w:sz w:val="28"/>
        <w:szCs w:val="28"/>
      </w:rPr>
      <w:t>ETC</w:t>
    </w:r>
    <w:r w:rsidR="00237E3F" w:rsidRPr="003233C1">
      <w:rPr>
        <w:sz w:val="28"/>
        <w:szCs w:val="28"/>
      </w:rPr>
      <w:t xml:space="preserve"> Certification Instructions </w:t>
    </w:r>
    <w:r w:rsidRPr="003233C1">
      <w:rPr>
        <w:sz w:val="28"/>
        <w:szCs w:val="28"/>
      </w:rPr>
      <w:t xml:space="preserve">for </w:t>
    </w:r>
    <w:r w:rsidR="00237E3F" w:rsidRPr="003233C1">
      <w:rPr>
        <w:sz w:val="28"/>
        <w:szCs w:val="28"/>
      </w:rPr>
      <w:t xml:space="preserve">Attachments 1 </w:t>
    </w:r>
    <w:r w:rsidRPr="003233C1">
      <w:rPr>
        <w:sz w:val="28"/>
        <w:szCs w:val="28"/>
      </w:rPr>
      <w:t>-</w:t>
    </w:r>
    <w:r w:rsidR="00237E3F" w:rsidRPr="003233C1">
      <w:rPr>
        <w:sz w:val="28"/>
        <w:szCs w:val="28"/>
      </w:rPr>
      <w:t xml:space="preserve"> </w:t>
    </w:r>
    <w:r w:rsidR="004A0DA3">
      <w:rPr>
        <w:sz w:val="28"/>
        <w:szCs w:val="28"/>
      </w:rPr>
      <w:t>5</w:t>
    </w:r>
  </w:p>
  <w:p w14:paraId="4171420E" w14:textId="77777777" w:rsidR="00237E3F" w:rsidRDefault="00237E3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D4B4E"/>
    <w:multiLevelType w:val="hybridMultilevel"/>
    <w:tmpl w:val="1E7A8B90"/>
    <w:lvl w:ilvl="0" w:tplc="7D50053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37A25"/>
    <w:multiLevelType w:val="hybridMultilevel"/>
    <w:tmpl w:val="6C70727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19CD142F"/>
    <w:multiLevelType w:val="hybridMultilevel"/>
    <w:tmpl w:val="F270344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379B717F"/>
    <w:multiLevelType w:val="hybridMultilevel"/>
    <w:tmpl w:val="DDB28F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DE111C3"/>
    <w:multiLevelType w:val="hybridMultilevel"/>
    <w:tmpl w:val="A356AE58"/>
    <w:lvl w:ilvl="0" w:tplc="71482F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63944B7"/>
    <w:multiLevelType w:val="hybridMultilevel"/>
    <w:tmpl w:val="CD3CF1F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643147212">
    <w:abstractNumId w:val="0"/>
  </w:num>
  <w:num w:numId="2" w16cid:durableId="1925797554">
    <w:abstractNumId w:val="5"/>
  </w:num>
  <w:num w:numId="3" w16cid:durableId="964241696">
    <w:abstractNumId w:val="2"/>
  </w:num>
  <w:num w:numId="4" w16cid:durableId="771903446">
    <w:abstractNumId w:val="1"/>
  </w:num>
  <w:num w:numId="5" w16cid:durableId="2118914083">
    <w:abstractNumId w:val="4"/>
  </w:num>
  <w:num w:numId="6" w16cid:durableId="1073695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41D"/>
    <w:rsid w:val="00021410"/>
    <w:rsid w:val="00050454"/>
    <w:rsid w:val="000522C1"/>
    <w:rsid w:val="00055FFA"/>
    <w:rsid w:val="00066FA3"/>
    <w:rsid w:val="00082A8C"/>
    <w:rsid w:val="000A2C33"/>
    <w:rsid w:val="000B680E"/>
    <w:rsid w:val="000E722D"/>
    <w:rsid w:val="00121688"/>
    <w:rsid w:val="00121697"/>
    <w:rsid w:val="00124623"/>
    <w:rsid w:val="00124F2F"/>
    <w:rsid w:val="001255C3"/>
    <w:rsid w:val="00140001"/>
    <w:rsid w:val="00152A2E"/>
    <w:rsid w:val="00175368"/>
    <w:rsid w:val="00195D02"/>
    <w:rsid w:val="001A71D7"/>
    <w:rsid w:val="001D39AB"/>
    <w:rsid w:val="001D3E10"/>
    <w:rsid w:val="001E369C"/>
    <w:rsid w:val="002147E4"/>
    <w:rsid w:val="00221FD3"/>
    <w:rsid w:val="002352B7"/>
    <w:rsid w:val="00237E3F"/>
    <w:rsid w:val="00264795"/>
    <w:rsid w:val="00275C0C"/>
    <w:rsid w:val="002760D4"/>
    <w:rsid w:val="0027709F"/>
    <w:rsid w:val="00293A49"/>
    <w:rsid w:val="003074D6"/>
    <w:rsid w:val="00314652"/>
    <w:rsid w:val="00321643"/>
    <w:rsid w:val="00322ED3"/>
    <w:rsid w:val="003233C1"/>
    <w:rsid w:val="00327FDD"/>
    <w:rsid w:val="0033177F"/>
    <w:rsid w:val="0034641D"/>
    <w:rsid w:val="00373047"/>
    <w:rsid w:val="00373173"/>
    <w:rsid w:val="00376E0F"/>
    <w:rsid w:val="00381305"/>
    <w:rsid w:val="0039137E"/>
    <w:rsid w:val="003A3233"/>
    <w:rsid w:val="003A5522"/>
    <w:rsid w:val="003B0369"/>
    <w:rsid w:val="003D22CB"/>
    <w:rsid w:val="003D31DC"/>
    <w:rsid w:val="003E2F16"/>
    <w:rsid w:val="00400B0D"/>
    <w:rsid w:val="00404B73"/>
    <w:rsid w:val="00422535"/>
    <w:rsid w:val="00430F1C"/>
    <w:rsid w:val="00430F50"/>
    <w:rsid w:val="0044491A"/>
    <w:rsid w:val="00460E0C"/>
    <w:rsid w:val="004777BF"/>
    <w:rsid w:val="00480E4A"/>
    <w:rsid w:val="004863C1"/>
    <w:rsid w:val="00487772"/>
    <w:rsid w:val="004A0DA3"/>
    <w:rsid w:val="004A1BDC"/>
    <w:rsid w:val="004B1A71"/>
    <w:rsid w:val="004E4CB2"/>
    <w:rsid w:val="00515012"/>
    <w:rsid w:val="00540B7F"/>
    <w:rsid w:val="0056099B"/>
    <w:rsid w:val="00576B65"/>
    <w:rsid w:val="00592190"/>
    <w:rsid w:val="005C5AE0"/>
    <w:rsid w:val="005E52E4"/>
    <w:rsid w:val="005F40BA"/>
    <w:rsid w:val="006106A9"/>
    <w:rsid w:val="0062008D"/>
    <w:rsid w:val="00621806"/>
    <w:rsid w:val="00626656"/>
    <w:rsid w:val="00657E5D"/>
    <w:rsid w:val="00674029"/>
    <w:rsid w:val="006B0F0F"/>
    <w:rsid w:val="006C6AFA"/>
    <w:rsid w:val="006D4C6D"/>
    <w:rsid w:val="00741036"/>
    <w:rsid w:val="00742D96"/>
    <w:rsid w:val="0075520E"/>
    <w:rsid w:val="00762B25"/>
    <w:rsid w:val="007745BC"/>
    <w:rsid w:val="007A0315"/>
    <w:rsid w:val="007B7434"/>
    <w:rsid w:val="007E1A80"/>
    <w:rsid w:val="007E65E2"/>
    <w:rsid w:val="007E7BC0"/>
    <w:rsid w:val="008036FB"/>
    <w:rsid w:val="00805BC7"/>
    <w:rsid w:val="00867769"/>
    <w:rsid w:val="008853E7"/>
    <w:rsid w:val="008B3602"/>
    <w:rsid w:val="008C70BE"/>
    <w:rsid w:val="008F262A"/>
    <w:rsid w:val="00906DA5"/>
    <w:rsid w:val="00915336"/>
    <w:rsid w:val="0094165F"/>
    <w:rsid w:val="00952320"/>
    <w:rsid w:val="009A7D99"/>
    <w:rsid w:val="009B09EA"/>
    <w:rsid w:val="009C7248"/>
    <w:rsid w:val="009D3FC3"/>
    <w:rsid w:val="009D752E"/>
    <w:rsid w:val="009D77E0"/>
    <w:rsid w:val="00A04981"/>
    <w:rsid w:val="00A27423"/>
    <w:rsid w:val="00A322F8"/>
    <w:rsid w:val="00A54252"/>
    <w:rsid w:val="00AA1118"/>
    <w:rsid w:val="00AC5942"/>
    <w:rsid w:val="00AE05F5"/>
    <w:rsid w:val="00AF6317"/>
    <w:rsid w:val="00AF75B2"/>
    <w:rsid w:val="00B00473"/>
    <w:rsid w:val="00B14360"/>
    <w:rsid w:val="00B14F13"/>
    <w:rsid w:val="00B30816"/>
    <w:rsid w:val="00B52780"/>
    <w:rsid w:val="00BB1D39"/>
    <w:rsid w:val="00BE0AB5"/>
    <w:rsid w:val="00BE6EC2"/>
    <w:rsid w:val="00BF0E7F"/>
    <w:rsid w:val="00BF3D6F"/>
    <w:rsid w:val="00C13EF2"/>
    <w:rsid w:val="00C2556E"/>
    <w:rsid w:val="00C46FF3"/>
    <w:rsid w:val="00C50FF4"/>
    <w:rsid w:val="00CA4C27"/>
    <w:rsid w:val="00CB1FC7"/>
    <w:rsid w:val="00CD074A"/>
    <w:rsid w:val="00CE7509"/>
    <w:rsid w:val="00DA5AC8"/>
    <w:rsid w:val="00DA70AA"/>
    <w:rsid w:val="00DA71B6"/>
    <w:rsid w:val="00DB1C6B"/>
    <w:rsid w:val="00DE50ED"/>
    <w:rsid w:val="00E00445"/>
    <w:rsid w:val="00E00789"/>
    <w:rsid w:val="00E0333A"/>
    <w:rsid w:val="00E24C62"/>
    <w:rsid w:val="00E502D2"/>
    <w:rsid w:val="00E71B14"/>
    <w:rsid w:val="00E72204"/>
    <w:rsid w:val="00E73CBF"/>
    <w:rsid w:val="00E87B8F"/>
    <w:rsid w:val="00EA0952"/>
    <w:rsid w:val="00EA4656"/>
    <w:rsid w:val="00EC480B"/>
    <w:rsid w:val="00EF75D2"/>
    <w:rsid w:val="00F142B6"/>
    <w:rsid w:val="00F16759"/>
    <w:rsid w:val="00F34FC5"/>
    <w:rsid w:val="00F37652"/>
    <w:rsid w:val="00F40A8C"/>
    <w:rsid w:val="00F42415"/>
    <w:rsid w:val="00F56D6C"/>
    <w:rsid w:val="00F80761"/>
    <w:rsid w:val="00FA2270"/>
    <w:rsid w:val="00FC3639"/>
    <w:rsid w:val="00FC3B9D"/>
    <w:rsid w:val="00FC4D40"/>
    <w:rsid w:val="00FD1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1194CAA1"/>
  <w15:docId w15:val="{607A91E1-1F6E-4AA5-B178-8147DB73B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5F5"/>
    <w:rPr>
      <w:sz w:val="24"/>
      <w:szCs w:val="24"/>
    </w:rPr>
  </w:style>
  <w:style w:type="paragraph" w:styleId="Heading1">
    <w:name w:val="heading 1"/>
    <w:basedOn w:val="Normal"/>
    <w:next w:val="Normal"/>
    <w:qFormat/>
    <w:rsid w:val="00AE05F5"/>
    <w:pPr>
      <w:keepNext/>
      <w:outlineLvl w:val="0"/>
    </w:pPr>
    <w:rPr>
      <w:rFonts w:ascii="Arial" w:hAnsi="Arial" w:cs="Arial"/>
      <w:b/>
      <w:bCs/>
      <w:sz w:val="20"/>
      <w:szCs w:val="20"/>
      <w:u w:val="single"/>
    </w:rPr>
  </w:style>
  <w:style w:type="paragraph" w:styleId="Heading2">
    <w:name w:val="heading 2"/>
    <w:basedOn w:val="Normal"/>
    <w:next w:val="Normal"/>
    <w:qFormat/>
    <w:rsid w:val="00AE05F5"/>
    <w:pPr>
      <w:keepNext/>
      <w:outlineLvl w:val="1"/>
    </w:pPr>
    <w:rPr>
      <w:b/>
      <w:bCs/>
    </w:rPr>
  </w:style>
  <w:style w:type="paragraph" w:styleId="Heading3">
    <w:name w:val="heading 3"/>
    <w:basedOn w:val="Normal"/>
    <w:next w:val="Normal"/>
    <w:qFormat/>
    <w:rsid w:val="00AE05F5"/>
    <w:pPr>
      <w:keepNext/>
      <w:jc w:val="center"/>
      <w:outlineLvl w:val="2"/>
    </w:pPr>
    <w:rPr>
      <w:rFonts w:ascii="Arial" w:hAnsi="Arial" w:cs="Arial"/>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E05F5"/>
    <w:pPr>
      <w:keepLines/>
      <w:ind w:left="144" w:firstLine="576"/>
      <w:jc w:val="both"/>
    </w:pPr>
    <w:rPr>
      <w:rFonts w:ascii="Arial" w:hAnsi="Arial"/>
      <w:sz w:val="20"/>
      <w:szCs w:val="20"/>
    </w:rPr>
  </w:style>
  <w:style w:type="character" w:styleId="FootnoteReference">
    <w:name w:val="footnote reference"/>
    <w:basedOn w:val="DefaultParagraphFont"/>
    <w:semiHidden/>
    <w:rsid w:val="00AE05F5"/>
    <w:rPr>
      <w:vertAlign w:val="superscript"/>
    </w:rPr>
  </w:style>
  <w:style w:type="paragraph" w:styleId="BodyTextIndent">
    <w:name w:val="Body Text Indent"/>
    <w:basedOn w:val="Normal"/>
    <w:rsid w:val="00AE05F5"/>
    <w:pPr>
      <w:ind w:left="1440"/>
    </w:pPr>
  </w:style>
  <w:style w:type="paragraph" w:styleId="BodyTextIndent2">
    <w:name w:val="Body Text Indent 2"/>
    <w:basedOn w:val="Normal"/>
    <w:rsid w:val="00AE05F5"/>
    <w:pPr>
      <w:ind w:left="720"/>
    </w:pPr>
  </w:style>
  <w:style w:type="paragraph" w:styleId="BodyTextIndent3">
    <w:name w:val="Body Text Indent 3"/>
    <w:basedOn w:val="Normal"/>
    <w:rsid w:val="00AE05F5"/>
    <w:pPr>
      <w:ind w:left="1440" w:hanging="720"/>
    </w:pPr>
  </w:style>
  <w:style w:type="paragraph" w:styleId="Title">
    <w:name w:val="Title"/>
    <w:basedOn w:val="Normal"/>
    <w:qFormat/>
    <w:rsid w:val="00AE05F5"/>
    <w:pPr>
      <w:ind w:left="1440" w:hanging="720"/>
      <w:jc w:val="center"/>
    </w:pPr>
    <w:rPr>
      <w:b/>
      <w:bCs/>
      <w:sz w:val="28"/>
    </w:rPr>
  </w:style>
  <w:style w:type="paragraph" w:styleId="Header">
    <w:name w:val="header"/>
    <w:basedOn w:val="Normal"/>
    <w:rsid w:val="00AE05F5"/>
    <w:pPr>
      <w:tabs>
        <w:tab w:val="center" w:pos="4320"/>
        <w:tab w:val="right" w:pos="8640"/>
      </w:tabs>
    </w:pPr>
  </w:style>
  <w:style w:type="paragraph" w:styleId="Footer">
    <w:name w:val="footer"/>
    <w:basedOn w:val="Normal"/>
    <w:link w:val="FooterChar"/>
    <w:uiPriority w:val="99"/>
    <w:rsid w:val="00AE05F5"/>
    <w:pPr>
      <w:tabs>
        <w:tab w:val="center" w:pos="4320"/>
        <w:tab w:val="right" w:pos="8640"/>
      </w:tabs>
    </w:pPr>
  </w:style>
  <w:style w:type="character" w:styleId="PageNumber">
    <w:name w:val="page number"/>
    <w:basedOn w:val="DefaultParagraphFont"/>
    <w:rsid w:val="00AE05F5"/>
  </w:style>
  <w:style w:type="paragraph" w:styleId="BalloonText">
    <w:name w:val="Balloon Text"/>
    <w:basedOn w:val="Normal"/>
    <w:semiHidden/>
    <w:rsid w:val="0075520E"/>
    <w:rPr>
      <w:rFonts w:ascii="Tahoma" w:hAnsi="Tahoma" w:cs="Tahoma"/>
      <w:sz w:val="16"/>
      <w:szCs w:val="16"/>
    </w:rPr>
  </w:style>
  <w:style w:type="character" w:customStyle="1" w:styleId="FooterChar">
    <w:name w:val="Footer Char"/>
    <w:basedOn w:val="DefaultParagraphFont"/>
    <w:link w:val="Footer"/>
    <w:uiPriority w:val="99"/>
    <w:rsid w:val="00CA4C27"/>
    <w:rPr>
      <w:sz w:val="24"/>
      <w:szCs w:val="24"/>
    </w:rPr>
  </w:style>
  <w:style w:type="character" w:styleId="Hyperlink">
    <w:name w:val="Hyperlink"/>
    <w:basedOn w:val="DefaultParagraphFont"/>
    <w:uiPriority w:val="99"/>
    <w:unhideWhenUsed/>
    <w:rsid w:val="00540B7F"/>
    <w:rPr>
      <w:color w:val="0000FF" w:themeColor="hyperlink"/>
      <w:u w:val="single"/>
    </w:rPr>
  </w:style>
  <w:style w:type="character" w:styleId="UnresolvedMention">
    <w:name w:val="Unresolved Mention"/>
    <w:basedOn w:val="DefaultParagraphFont"/>
    <w:uiPriority w:val="99"/>
    <w:semiHidden/>
    <w:unhideWhenUsed/>
    <w:rsid w:val="00152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garrett@ks.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mant.bhagat@k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B9029-E1A5-4F3F-BF0E-11900754E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1443</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High Cost Universal Service Funding Certification For</vt:lpstr>
    </vt:vector>
  </TitlesOfParts>
  <Company>Kansas Corporation Commission</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Cost Universal Service Funding Certification For</dc:title>
  <dc:creator>caarnes</dc:creator>
  <cp:lastModifiedBy>Steve Garrett [KCC]</cp:lastModifiedBy>
  <cp:revision>3</cp:revision>
  <cp:lastPrinted>2019-03-29T20:54:00Z</cp:lastPrinted>
  <dcterms:created xsi:type="dcterms:W3CDTF">2025-02-28T19:47:00Z</dcterms:created>
  <dcterms:modified xsi:type="dcterms:W3CDTF">2025-02-28T19:49:00Z</dcterms:modified>
</cp:coreProperties>
</file>